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招聘专业人数及要求</w:t>
      </w:r>
    </w:p>
    <w:tbl>
      <w:tblPr>
        <w:tblW w:w="833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9"/>
        <w:gridCol w:w="4875"/>
        <w:gridCol w:w="1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Header/>
        </w:trPr>
        <w:tc>
          <w:tcPr>
            <w:tcW w:w="2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科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室</w:t>
            </w:r>
          </w:p>
        </w:tc>
        <w:tc>
          <w:tcPr>
            <w:tcW w:w="4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学历层次及专业要求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心血管内科病区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（心血管方向）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呼吸内科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（呼吸方向）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全科医学科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（全科医学或呼吸或心血管方向）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血液科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（血液方向）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风湿科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（风湿方向）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儿科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周岁及以下，儿科学专业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（新生儿科方向）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老干部病区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（呼吸或心血管或康复或神经病学或内分泌方向）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内分泌代谢科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（内分泌方向）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肿瘤科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（肿瘤或肿瘤放疗或肿瘤介入方向）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放射科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周岁及以下，放射医学、影像医学与核医学专业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病理科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周岁及以下，病理学与病理生理学专业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中医内科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周岁及以下，中医内科学专业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周岁及以下，针灸推拿学专业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肛肠科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23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-6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</w:t>
            </w:r>
            <w:r>
              <w:rPr>
                <w:rFonts w:hint="eastAsia" w:ascii="宋体" w:hAnsi="宋体" w:eastAsia="宋体" w:cs="宋体"/>
                <w:caps w:val="0"/>
                <w:spacing w:val="-6"/>
                <w:kern w:val="0"/>
                <w:sz w:val="28"/>
                <w:szCs w:val="28"/>
                <w:lang w:val="en-US" w:eastAsia="zh-CN" w:bidi="ar"/>
              </w:rPr>
              <w:t>中医肛肠病学专业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ICU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（重症或急诊方向）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麻醉科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周岁及以下，麻醉学专业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功能科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周岁及以下，影像医学与核医学专业（临床超声诊断方向）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急诊科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（重症或急诊方向）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生殖医学科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周岁及以下，妇产科学专业（生殖医学方向）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周岁及以下，动物遗传育种与繁殖学专业（胚胎学或生物遗传学方向）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泌尿外科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（泌尿方向）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妇科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周岁及以下，妇产科学专业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产科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周岁及以下，妇产科学专业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骨科一病区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（脊柱方向）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骨科二病区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（骨科方向）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疼痛科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（疼痛方向）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血管外科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（血管外科方向）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心脏外科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（心脏外科方向）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普外科三病区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（乳腺或甲状腺外科方向）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神经外科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（神经外科方向）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小儿外科、急诊外科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（胃肠或肝胆外科方向）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肝病科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（传染病方向）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放疗室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周岁及以下，核能与核技术工程专业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心理门诊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周岁及以下，精神病与精神卫生学专业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药学部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周岁及以下，药学专业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强戒分院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周岁及以下，药学专业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（消化方向）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周岁及以下，临床检验诊断学专业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周岁及以下，内科学专业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（神经病学方向）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 w:firstLine="5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全日制硕士研究生，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周岁及以下，外科学专业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（胃肠或肝胆方向）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29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B6006"/>
    <w:rsid w:val="186B60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2018-06-27T02:17:00Z</dcterms:created>
  <dc:creator>ASUS</dc:creator>
  <cp:lastModifiedBy>ASUS</cp:lastModifiedBy>
  <dcterms:modified xsi:type="dcterms:W3CDTF">2018-06-27T02:17:40Z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