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DAECD">
      <w:pPr>
        <w:keepNext w:val="0"/>
        <w:keepLines w:val="0"/>
        <w:pageBreakBefore w:val="0"/>
        <w:widowControl/>
        <w:numPr>
          <w:ilvl w:val="0"/>
          <w:numId w:val="0"/>
        </w:numPr>
        <w:kinsoku/>
        <w:wordWrap/>
        <w:overflowPunct/>
        <w:topLinePunct w:val="0"/>
        <w:autoSpaceDE/>
        <w:autoSpaceDN/>
        <w:bidi w:val="0"/>
        <w:spacing w:line="600" w:lineRule="exact"/>
        <w:jc w:val="both"/>
        <w:textAlignment w:val="auto"/>
        <w:rPr>
          <w:rFonts w:hint="default" w:ascii="仿宋_GB2312" w:hAnsi="仿宋_GB2312" w:eastAsia="仿宋_GB2312" w:cs="仿宋_GB2312"/>
          <w:sz w:val="36"/>
          <w:szCs w:val="36"/>
          <w:lang w:val="en-US" w:eastAsia="zh-CN"/>
        </w:rPr>
      </w:pPr>
      <w:r>
        <w:rPr>
          <w:rFonts w:hint="eastAsia" w:ascii="仿宋_GB2312" w:hAnsi="仿宋_GB2312" w:eastAsia="仿宋_GB2312" w:cs="仿宋_GB2312"/>
          <w:sz w:val="32"/>
          <w:szCs w:val="32"/>
          <w:lang w:val="en-US" w:eastAsia="zh-CN"/>
        </w:rPr>
        <w:t>附件1</w:t>
      </w:r>
    </w:p>
    <w:p w14:paraId="0D07AC25">
      <w:pPr>
        <w:keepNext w:val="0"/>
        <w:keepLines w:val="0"/>
        <w:pageBreakBefore w:val="0"/>
        <w:widowControl/>
        <w:kinsoku/>
        <w:wordWrap/>
        <w:overflowPunct/>
        <w:topLinePunct/>
        <w:bidi w:val="0"/>
        <w:snapToGrid w:val="0"/>
        <w:spacing w:line="560" w:lineRule="exact"/>
        <w:jc w:val="center"/>
        <w:rPr>
          <w:rFonts w:hint="default" w:ascii="Times New Roman" w:hAnsi="Times New Roman" w:eastAsia="仿宋_GB2312" w:cs="Times New Roman"/>
          <w:b/>
          <w:bCs/>
          <w:sz w:val="36"/>
          <w:szCs w:val="36"/>
          <w:lang w:val="en-US" w:eastAsia="zh-CN"/>
        </w:rPr>
      </w:pPr>
      <w:r>
        <w:rPr>
          <w:rFonts w:hint="default" w:ascii="Times New Roman" w:hAnsi="Times New Roman" w:eastAsia="仿宋_GB2312" w:cs="Times New Roman"/>
          <w:b/>
          <w:bCs/>
          <w:sz w:val="36"/>
          <w:szCs w:val="36"/>
          <w:lang w:val="en-US" w:eastAsia="zh-CN"/>
        </w:rPr>
        <w:t>江西创投</w:t>
      </w:r>
      <w:r>
        <w:rPr>
          <w:rFonts w:hint="eastAsia" w:ascii="Times New Roman" w:hAnsi="Times New Roman" w:eastAsia="仿宋_GB2312" w:cs="Times New Roman"/>
          <w:b/>
          <w:bCs/>
          <w:sz w:val="36"/>
          <w:szCs w:val="36"/>
          <w:lang w:val="en-US" w:eastAsia="zh-CN"/>
        </w:rPr>
        <w:t>本部</w:t>
      </w:r>
      <w:r>
        <w:rPr>
          <w:rFonts w:hint="default" w:ascii="Times New Roman" w:hAnsi="Times New Roman" w:eastAsia="仿宋_GB2312" w:cs="Times New Roman"/>
          <w:b/>
          <w:bCs/>
          <w:sz w:val="36"/>
          <w:szCs w:val="36"/>
          <w:lang w:val="en-US" w:eastAsia="zh-CN"/>
        </w:rPr>
        <w:t>及所属企业</w:t>
      </w:r>
      <w:r>
        <w:rPr>
          <w:rFonts w:hint="default" w:ascii="Times New Roman" w:hAnsi="Times New Roman" w:eastAsia="仿宋_GB2312" w:cs="Times New Roman"/>
          <w:b/>
          <w:bCs/>
          <w:sz w:val="36"/>
          <w:szCs w:val="36"/>
        </w:rPr>
        <w:t>202</w:t>
      </w:r>
      <w:r>
        <w:rPr>
          <w:rFonts w:hint="default" w:ascii="Times New Roman" w:hAnsi="Times New Roman" w:eastAsia="仿宋_GB2312" w:cs="Times New Roman"/>
          <w:b/>
          <w:bCs/>
          <w:sz w:val="36"/>
          <w:szCs w:val="36"/>
          <w:lang w:val="en-US" w:eastAsia="zh-CN"/>
        </w:rPr>
        <w:t>5</w:t>
      </w:r>
      <w:r>
        <w:rPr>
          <w:rFonts w:hint="default" w:ascii="Times New Roman" w:hAnsi="Times New Roman" w:eastAsia="仿宋_GB2312" w:cs="Times New Roman"/>
          <w:b/>
          <w:bCs/>
          <w:sz w:val="36"/>
          <w:szCs w:val="36"/>
        </w:rPr>
        <w:t>年</w:t>
      </w:r>
      <w:r>
        <w:rPr>
          <w:rFonts w:hint="eastAsia" w:ascii="Times New Roman" w:hAnsi="Times New Roman" w:eastAsia="仿宋_GB2312" w:cs="Times New Roman"/>
          <w:b/>
          <w:bCs/>
          <w:sz w:val="36"/>
          <w:szCs w:val="36"/>
          <w:lang w:val="en-US" w:eastAsia="zh-CN"/>
        </w:rPr>
        <w:t>第二批</w:t>
      </w:r>
      <w:r>
        <w:rPr>
          <w:rFonts w:hint="default" w:ascii="Times New Roman" w:hAnsi="Times New Roman" w:eastAsia="仿宋_GB2312" w:cs="Times New Roman"/>
          <w:b/>
          <w:bCs/>
          <w:sz w:val="36"/>
          <w:szCs w:val="36"/>
          <w:lang w:val="en-US" w:eastAsia="zh-CN"/>
        </w:rPr>
        <w:t>次岗位需求计划表</w:t>
      </w:r>
    </w:p>
    <w:tbl>
      <w:tblPr>
        <w:tblStyle w:val="6"/>
        <w:tblpPr w:leftFromText="180" w:rightFromText="180" w:vertAnchor="text" w:horzAnchor="page" w:tblpXSpec="center" w:tblpY="242"/>
        <w:tblOverlap w:val="never"/>
        <w:tblW w:w="55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81"/>
        <w:gridCol w:w="1003"/>
        <w:gridCol w:w="793"/>
        <w:gridCol w:w="965"/>
        <w:gridCol w:w="615"/>
        <w:gridCol w:w="1458"/>
        <w:gridCol w:w="4801"/>
        <w:gridCol w:w="4457"/>
      </w:tblGrid>
      <w:tr w14:paraId="4CA6A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 w:hRule="atLeast"/>
          <w:jc w:val="center"/>
        </w:trPr>
        <w:tc>
          <w:tcPr>
            <w:tcW w:w="165" w:type="pct"/>
            <w:noWrap w:val="0"/>
            <w:textDirection w:val="tbRlV"/>
            <w:vAlign w:val="center"/>
          </w:tcPr>
          <w:p w14:paraId="080C5DC7">
            <w:pPr>
              <w:keepNext w:val="0"/>
              <w:keepLines w:val="0"/>
              <w:pageBreakBefore w:val="0"/>
              <w:widowControl w:val="0"/>
              <w:kinsoku/>
              <w:wordWrap/>
              <w:overflowPunct/>
              <w:topLinePunct/>
              <w:autoSpaceDE/>
              <w:autoSpaceDN/>
              <w:bidi w:val="0"/>
              <w:adjustRightInd/>
              <w:snapToGrid/>
              <w:spacing w:line="240" w:lineRule="exact"/>
              <w:ind w:left="386" w:right="164" w:hanging="232"/>
              <w:jc w:val="center"/>
              <w:textAlignment w:val="auto"/>
              <w:rPr>
                <w:rFonts w:hint="eastAsia" w:ascii="仿宋_GB2312" w:hAnsi="仿宋_GB2312" w:eastAsia="仿宋_GB2312" w:cs="仿宋_GB2312"/>
                <w:b/>
                <w:bCs/>
                <w:sz w:val="20"/>
                <w:szCs w:val="20"/>
              </w:rPr>
            </w:pPr>
            <w:r>
              <w:rPr>
                <w:rFonts w:hint="eastAsia" w:ascii="仿宋_GB2312" w:hAnsi="仿宋_GB2312" w:eastAsia="仿宋_GB2312" w:cs="仿宋_GB2312"/>
                <w:b/>
                <w:bCs/>
                <w:spacing w:val="-5"/>
                <w:sz w:val="20"/>
                <w:szCs w:val="20"/>
              </w:rPr>
              <w:t>序 号</w:t>
            </w:r>
          </w:p>
        </w:tc>
        <w:tc>
          <w:tcPr>
            <w:tcW w:w="344" w:type="pct"/>
            <w:noWrap w:val="0"/>
            <w:vAlign w:val="center"/>
          </w:tcPr>
          <w:p w14:paraId="164A683C">
            <w:pPr>
              <w:keepNext w:val="0"/>
              <w:keepLines w:val="0"/>
              <w:pageBreakBefore w:val="0"/>
              <w:widowControl w:val="0"/>
              <w:kinsoku/>
              <w:wordWrap/>
              <w:overflowPunct/>
              <w:topLinePunct/>
              <w:autoSpaceDE/>
              <w:autoSpaceDN/>
              <w:bidi w:val="0"/>
              <w:adjustRightInd/>
              <w:snapToGrid/>
              <w:spacing w:line="240" w:lineRule="exact"/>
              <w:jc w:val="center"/>
              <w:textAlignment w:val="auto"/>
              <w:rPr>
                <w:rFonts w:hint="eastAsia" w:ascii="仿宋_GB2312" w:hAnsi="仿宋_GB2312" w:eastAsia="仿宋_GB2312" w:cs="仿宋_GB2312"/>
                <w:b/>
                <w:bCs/>
                <w:sz w:val="20"/>
                <w:szCs w:val="20"/>
                <w:lang w:val="en-US" w:eastAsia="zh-CN"/>
              </w:rPr>
            </w:pPr>
            <w:r>
              <w:rPr>
                <w:rFonts w:hint="eastAsia" w:ascii="仿宋_GB2312" w:hAnsi="仿宋_GB2312" w:eastAsia="仿宋_GB2312" w:cs="仿宋_GB2312"/>
                <w:b/>
                <w:bCs/>
                <w:sz w:val="20"/>
                <w:szCs w:val="20"/>
                <w:lang w:val="en-US" w:eastAsia="zh-CN"/>
              </w:rPr>
              <w:t>公司</w:t>
            </w:r>
          </w:p>
        </w:tc>
        <w:tc>
          <w:tcPr>
            <w:tcW w:w="272" w:type="pct"/>
            <w:noWrap w:val="0"/>
            <w:vAlign w:val="center"/>
          </w:tcPr>
          <w:p w14:paraId="59582D85">
            <w:pPr>
              <w:keepNext w:val="0"/>
              <w:keepLines w:val="0"/>
              <w:pageBreakBefore w:val="0"/>
              <w:widowControl w:val="0"/>
              <w:kinsoku/>
              <w:wordWrap/>
              <w:overflowPunct/>
              <w:topLinePunct/>
              <w:autoSpaceDE/>
              <w:autoSpaceDN/>
              <w:bidi w:val="0"/>
              <w:adjustRightInd/>
              <w:snapToGrid/>
              <w:spacing w:line="240" w:lineRule="exact"/>
              <w:jc w:val="center"/>
              <w:textAlignment w:val="auto"/>
              <w:rPr>
                <w:rFonts w:hint="eastAsia" w:ascii="仿宋_GB2312" w:hAnsi="仿宋_GB2312" w:eastAsia="仿宋_GB2312" w:cs="仿宋_GB2312"/>
                <w:b/>
                <w:bCs/>
                <w:sz w:val="20"/>
                <w:szCs w:val="20"/>
                <w:lang w:val="en-US" w:eastAsia="zh-CN"/>
              </w:rPr>
            </w:pPr>
            <w:r>
              <w:rPr>
                <w:rFonts w:hint="eastAsia" w:ascii="仿宋_GB2312" w:hAnsi="仿宋_GB2312" w:eastAsia="仿宋_GB2312" w:cs="仿宋_GB2312"/>
                <w:b/>
                <w:bCs/>
                <w:sz w:val="20"/>
                <w:szCs w:val="20"/>
              </w:rPr>
              <w:t>需求部门</w:t>
            </w:r>
          </w:p>
        </w:tc>
        <w:tc>
          <w:tcPr>
            <w:tcW w:w="331" w:type="pct"/>
            <w:noWrap w:val="0"/>
            <w:vAlign w:val="center"/>
          </w:tcPr>
          <w:p w14:paraId="25ADEC48">
            <w:pPr>
              <w:keepNext w:val="0"/>
              <w:keepLines w:val="0"/>
              <w:pageBreakBefore w:val="0"/>
              <w:widowControl w:val="0"/>
              <w:kinsoku/>
              <w:wordWrap/>
              <w:overflowPunct/>
              <w:topLinePunct/>
              <w:autoSpaceDE/>
              <w:autoSpaceDN/>
              <w:bidi w:val="0"/>
              <w:adjustRightInd/>
              <w:snapToGrid/>
              <w:spacing w:line="240" w:lineRule="exact"/>
              <w:jc w:val="center"/>
              <w:textAlignment w:val="auto"/>
              <w:rPr>
                <w:rFonts w:hint="eastAsia" w:ascii="仿宋_GB2312" w:hAnsi="仿宋_GB2312" w:eastAsia="仿宋_GB2312" w:cs="仿宋_GB2312"/>
                <w:b/>
                <w:bCs/>
                <w:spacing w:val="-3"/>
                <w:sz w:val="20"/>
                <w:szCs w:val="20"/>
              </w:rPr>
            </w:pPr>
            <w:r>
              <w:rPr>
                <w:rFonts w:hint="eastAsia" w:ascii="仿宋_GB2312" w:hAnsi="仿宋_GB2312" w:eastAsia="仿宋_GB2312" w:cs="仿宋_GB2312"/>
                <w:b/>
                <w:bCs/>
                <w:spacing w:val="-3"/>
                <w:sz w:val="20"/>
                <w:szCs w:val="20"/>
              </w:rPr>
              <w:t>需求</w:t>
            </w:r>
          </w:p>
          <w:p w14:paraId="55075179">
            <w:pPr>
              <w:keepNext w:val="0"/>
              <w:keepLines w:val="0"/>
              <w:pageBreakBefore w:val="0"/>
              <w:widowControl w:val="0"/>
              <w:kinsoku/>
              <w:wordWrap/>
              <w:overflowPunct/>
              <w:topLinePunct/>
              <w:autoSpaceDE/>
              <w:autoSpaceDN/>
              <w:bidi w:val="0"/>
              <w:adjustRightInd/>
              <w:snapToGrid/>
              <w:spacing w:line="240" w:lineRule="exact"/>
              <w:jc w:val="center"/>
              <w:textAlignment w:val="auto"/>
              <w:rPr>
                <w:rFonts w:hint="eastAsia" w:ascii="仿宋_GB2312" w:hAnsi="仿宋_GB2312" w:eastAsia="仿宋_GB2312" w:cs="仿宋_GB2312"/>
                <w:b/>
                <w:bCs/>
                <w:spacing w:val="-3"/>
                <w:sz w:val="20"/>
                <w:szCs w:val="20"/>
              </w:rPr>
            </w:pPr>
            <w:r>
              <w:rPr>
                <w:rFonts w:hint="eastAsia" w:ascii="仿宋_GB2312" w:hAnsi="仿宋_GB2312" w:eastAsia="仿宋_GB2312" w:cs="仿宋_GB2312"/>
                <w:b/>
                <w:bCs/>
                <w:spacing w:val="-3"/>
                <w:sz w:val="20"/>
                <w:szCs w:val="20"/>
              </w:rPr>
              <w:t>岗位</w:t>
            </w:r>
          </w:p>
          <w:p w14:paraId="74F0F8A6">
            <w:pPr>
              <w:keepNext w:val="0"/>
              <w:keepLines w:val="0"/>
              <w:pageBreakBefore w:val="0"/>
              <w:widowControl w:val="0"/>
              <w:kinsoku/>
              <w:wordWrap/>
              <w:overflowPunct/>
              <w:topLinePunct/>
              <w:autoSpaceDE/>
              <w:autoSpaceDN/>
              <w:bidi w:val="0"/>
              <w:adjustRightInd/>
              <w:snapToGrid/>
              <w:spacing w:line="240" w:lineRule="exact"/>
              <w:jc w:val="center"/>
              <w:textAlignment w:val="auto"/>
              <w:rPr>
                <w:rFonts w:hint="eastAsia" w:ascii="仿宋_GB2312" w:hAnsi="仿宋_GB2312" w:eastAsia="仿宋_GB2312" w:cs="仿宋_GB2312"/>
                <w:b/>
                <w:bCs/>
                <w:spacing w:val="-3"/>
                <w:sz w:val="20"/>
                <w:szCs w:val="20"/>
              </w:rPr>
            </w:pPr>
            <w:r>
              <w:rPr>
                <w:rFonts w:hint="eastAsia" w:ascii="仿宋_GB2312" w:hAnsi="仿宋_GB2312" w:eastAsia="仿宋_GB2312" w:cs="仿宋_GB2312"/>
                <w:b/>
                <w:bCs/>
                <w:spacing w:val="-3"/>
                <w:sz w:val="20"/>
                <w:szCs w:val="20"/>
              </w:rPr>
              <w:t>名称</w:t>
            </w:r>
          </w:p>
        </w:tc>
        <w:tc>
          <w:tcPr>
            <w:tcW w:w="211" w:type="pct"/>
            <w:noWrap w:val="0"/>
            <w:vAlign w:val="center"/>
          </w:tcPr>
          <w:p w14:paraId="2D919858">
            <w:pPr>
              <w:keepNext w:val="0"/>
              <w:keepLines w:val="0"/>
              <w:pageBreakBefore w:val="0"/>
              <w:widowControl w:val="0"/>
              <w:kinsoku/>
              <w:wordWrap/>
              <w:overflowPunct/>
              <w:topLinePunct/>
              <w:autoSpaceDE/>
              <w:autoSpaceDN/>
              <w:bidi w:val="0"/>
              <w:adjustRightInd/>
              <w:snapToGrid/>
              <w:spacing w:line="240" w:lineRule="exact"/>
              <w:jc w:val="center"/>
              <w:textAlignment w:val="auto"/>
              <w:rPr>
                <w:rFonts w:hint="eastAsia" w:ascii="仿宋_GB2312" w:hAnsi="仿宋_GB2312" w:eastAsia="仿宋_GB2312" w:cs="仿宋_GB2312"/>
                <w:b/>
                <w:bCs/>
                <w:spacing w:val="-3"/>
                <w:sz w:val="20"/>
                <w:szCs w:val="20"/>
              </w:rPr>
            </w:pPr>
            <w:r>
              <w:rPr>
                <w:rFonts w:hint="eastAsia" w:ascii="仿宋_GB2312" w:hAnsi="仿宋_GB2312" w:eastAsia="仿宋_GB2312" w:cs="仿宋_GB2312"/>
                <w:b/>
                <w:bCs/>
                <w:spacing w:val="-3"/>
                <w:sz w:val="20"/>
                <w:szCs w:val="20"/>
              </w:rPr>
              <w:t>需求</w:t>
            </w:r>
          </w:p>
          <w:p w14:paraId="21BDE962">
            <w:pPr>
              <w:keepNext w:val="0"/>
              <w:keepLines w:val="0"/>
              <w:pageBreakBefore w:val="0"/>
              <w:widowControl w:val="0"/>
              <w:kinsoku/>
              <w:wordWrap/>
              <w:overflowPunct/>
              <w:topLinePunct/>
              <w:autoSpaceDE/>
              <w:autoSpaceDN/>
              <w:bidi w:val="0"/>
              <w:adjustRightInd/>
              <w:snapToGrid/>
              <w:spacing w:line="240" w:lineRule="exact"/>
              <w:jc w:val="center"/>
              <w:textAlignment w:val="auto"/>
              <w:rPr>
                <w:rFonts w:hint="eastAsia" w:ascii="仿宋_GB2312" w:hAnsi="仿宋_GB2312" w:eastAsia="仿宋_GB2312" w:cs="仿宋_GB2312"/>
                <w:b/>
                <w:bCs/>
                <w:spacing w:val="-3"/>
                <w:sz w:val="20"/>
                <w:szCs w:val="20"/>
              </w:rPr>
            </w:pPr>
            <w:r>
              <w:rPr>
                <w:rFonts w:hint="eastAsia" w:ascii="仿宋_GB2312" w:hAnsi="仿宋_GB2312" w:eastAsia="仿宋_GB2312" w:cs="仿宋_GB2312"/>
                <w:b/>
                <w:bCs/>
                <w:spacing w:val="-3"/>
                <w:sz w:val="20"/>
                <w:szCs w:val="20"/>
              </w:rPr>
              <w:t>计划</w:t>
            </w:r>
          </w:p>
          <w:p w14:paraId="2C81F929">
            <w:pPr>
              <w:keepNext w:val="0"/>
              <w:keepLines w:val="0"/>
              <w:pageBreakBefore w:val="0"/>
              <w:widowControl w:val="0"/>
              <w:kinsoku/>
              <w:wordWrap/>
              <w:overflowPunct/>
              <w:topLinePunct/>
              <w:autoSpaceDE/>
              <w:autoSpaceDN/>
              <w:bidi w:val="0"/>
              <w:adjustRightInd/>
              <w:snapToGrid/>
              <w:spacing w:line="240" w:lineRule="exact"/>
              <w:jc w:val="center"/>
              <w:textAlignment w:val="auto"/>
              <w:rPr>
                <w:rFonts w:hint="eastAsia" w:ascii="仿宋_GB2312" w:hAnsi="仿宋_GB2312" w:eastAsia="仿宋_GB2312" w:cs="仿宋_GB2312"/>
                <w:b/>
                <w:bCs/>
                <w:sz w:val="20"/>
                <w:szCs w:val="20"/>
              </w:rPr>
            </w:pPr>
            <w:r>
              <w:rPr>
                <w:rFonts w:hint="eastAsia" w:ascii="仿宋_GB2312" w:hAnsi="仿宋_GB2312" w:eastAsia="仿宋_GB2312" w:cs="仿宋_GB2312"/>
                <w:b/>
                <w:bCs/>
                <w:spacing w:val="-3"/>
                <w:sz w:val="20"/>
                <w:szCs w:val="20"/>
              </w:rPr>
              <w:t>人数</w:t>
            </w:r>
          </w:p>
        </w:tc>
        <w:tc>
          <w:tcPr>
            <w:tcW w:w="500" w:type="pct"/>
            <w:tcBorders>
              <w:left w:val="single" w:color="auto" w:sz="4" w:space="0"/>
            </w:tcBorders>
            <w:noWrap w:val="0"/>
            <w:vAlign w:val="center"/>
          </w:tcPr>
          <w:p w14:paraId="4D6D4B93">
            <w:pPr>
              <w:keepNext w:val="0"/>
              <w:keepLines w:val="0"/>
              <w:pageBreakBefore w:val="0"/>
              <w:widowControl w:val="0"/>
              <w:kinsoku/>
              <w:wordWrap/>
              <w:overflowPunct/>
              <w:topLinePunct/>
              <w:autoSpaceDE/>
              <w:autoSpaceDN/>
              <w:bidi w:val="0"/>
              <w:adjustRightInd/>
              <w:snapToGrid/>
              <w:spacing w:line="240" w:lineRule="exact"/>
              <w:jc w:val="center"/>
              <w:textAlignment w:val="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学历及专业</w:t>
            </w:r>
          </w:p>
        </w:tc>
        <w:tc>
          <w:tcPr>
            <w:tcW w:w="1646" w:type="pct"/>
            <w:tcBorders>
              <w:left w:val="single" w:color="auto" w:sz="4" w:space="0"/>
            </w:tcBorders>
            <w:noWrap w:val="0"/>
            <w:vAlign w:val="center"/>
          </w:tcPr>
          <w:p w14:paraId="0294289F">
            <w:pPr>
              <w:keepNext w:val="0"/>
              <w:keepLines w:val="0"/>
              <w:pageBreakBefore w:val="0"/>
              <w:widowControl w:val="0"/>
              <w:kinsoku/>
              <w:wordWrap/>
              <w:overflowPunct/>
              <w:topLinePunct/>
              <w:autoSpaceDE/>
              <w:autoSpaceDN/>
              <w:bidi w:val="0"/>
              <w:adjustRightInd/>
              <w:snapToGrid/>
              <w:spacing w:line="240" w:lineRule="exact"/>
              <w:jc w:val="center"/>
              <w:textAlignment w:val="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主要职责</w:t>
            </w:r>
          </w:p>
        </w:tc>
        <w:tc>
          <w:tcPr>
            <w:tcW w:w="1528" w:type="pct"/>
            <w:noWrap w:val="0"/>
            <w:vAlign w:val="top"/>
          </w:tcPr>
          <w:p w14:paraId="328E46CD">
            <w:pPr>
              <w:keepNext w:val="0"/>
              <w:keepLines w:val="0"/>
              <w:pageBreakBefore w:val="0"/>
              <w:kinsoku/>
              <w:wordWrap/>
              <w:overflowPunct/>
              <w:topLinePunct/>
              <w:bidi w:val="0"/>
              <w:spacing w:before="181" w:line="180" w:lineRule="exact"/>
              <w:ind w:left="386" w:right="164" w:hanging="232"/>
              <w:jc w:val="center"/>
              <w:rPr>
                <w:rFonts w:hint="eastAsia" w:ascii="仿宋_GB2312" w:hAnsi="仿宋_GB2312" w:eastAsia="仿宋_GB2312" w:cs="仿宋_GB2312"/>
                <w:b/>
                <w:bCs/>
                <w:spacing w:val="-5"/>
                <w:sz w:val="20"/>
                <w:szCs w:val="20"/>
              </w:rPr>
            </w:pPr>
          </w:p>
          <w:p w14:paraId="0800FF64">
            <w:pPr>
              <w:keepNext w:val="0"/>
              <w:keepLines w:val="0"/>
              <w:pageBreakBefore w:val="0"/>
              <w:kinsoku/>
              <w:wordWrap/>
              <w:overflowPunct/>
              <w:topLinePunct/>
              <w:bidi w:val="0"/>
              <w:spacing w:before="181" w:line="180" w:lineRule="exact"/>
              <w:ind w:left="386" w:right="164" w:hanging="232"/>
              <w:jc w:val="center"/>
              <w:rPr>
                <w:rFonts w:hint="eastAsia" w:ascii="仿宋_GB2312" w:hAnsi="仿宋_GB2312" w:eastAsia="仿宋_GB2312" w:cs="仿宋_GB2312"/>
                <w:b/>
                <w:bCs/>
                <w:spacing w:val="-5"/>
                <w:sz w:val="20"/>
                <w:szCs w:val="20"/>
              </w:rPr>
            </w:pPr>
            <w:r>
              <w:rPr>
                <w:rFonts w:hint="eastAsia" w:ascii="仿宋_GB2312" w:hAnsi="仿宋_GB2312" w:eastAsia="仿宋_GB2312" w:cs="仿宋_GB2312"/>
                <w:b/>
                <w:bCs/>
                <w:spacing w:val="-5"/>
                <w:sz w:val="20"/>
                <w:szCs w:val="20"/>
              </w:rPr>
              <w:t>任职要求</w:t>
            </w:r>
          </w:p>
        </w:tc>
      </w:tr>
      <w:tr w14:paraId="26640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3" w:hRule="atLeast"/>
          <w:jc w:val="center"/>
        </w:trPr>
        <w:tc>
          <w:tcPr>
            <w:tcW w:w="165" w:type="pct"/>
            <w:noWrap w:val="0"/>
            <w:vAlign w:val="center"/>
          </w:tcPr>
          <w:p w14:paraId="48577D60">
            <w:pPr>
              <w:keepNext w:val="0"/>
              <w:keepLines w:val="0"/>
              <w:pageBreakBefore w:val="0"/>
              <w:kinsoku/>
              <w:wordWrap/>
              <w:overflowPunct/>
              <w:topLinePunct/>
              <w:bidi w:val="0"/>
              <w:spacing w:before="75" w:line="183" w:lineRule="auto"/>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val="en-US" w:eastAsia="zh-CN"/>
              </w:rPr>
              <w:t>1</w:t>
            </w:r>
          </w:p>
        </w:tc>
        <w:tc>
          <w:tcPr>
            <w:tcW w:w="344" w:type="pct"/>
            <w:noWrap w:val="0"/>
            <w:vAlign w:val="center"/>
          </w:tcPr>
          <w:p w14:paraId="33794B82">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江西省创业投资管理有限公司</w:t>
            </w:r>
          </w:p>
        </w:tc>
        <w:tc>
          <w:tcPr>
            <w:tcW w:w="272" w:type="pct"/>
            <w:noWrap w:val="0"/>
            <w:vAlign w:val="center"/>
          </w:tcPr>
          <w:p w14:paraId="0B935525">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战略投资部</w:t>
            </w:r>
          </w:p>
        </w:tc>
        <w:tc>
          <w:tcPr>
            <w:tcW w:w="331" w:type="pct"/>
            <w:noWrap w:val="0"/>
            <w:vAlign w:val="center"/>
          </w:tcPr>
          <w:p w14:paraId="4C7BB842">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项目投资</w:t>
            </w:r>
            <w:r>
              <w:rPr>
                <w:rFonts w:hint="eastAsia" w:ascii="仿宋_GB2312" w:hAnsi="仿宋_GB2312" w:eastAsia="仿宋_GB2312" w:cs="仿宋_GB2312"/>
                <w:sz w:val="20"/>
                <w:szCs w:val="20"/>
              </w:rPr>
              <w:t>岗</w:t>
            </w:r>
          </w:p>
        </w:tc>
        <w:tc>
          <w:tcPr>
            <w:tcW w:w="211" w:type="pct"/>
            <w:noWrap w:val="0"/>
            <w:vAlign w:val="center"/>
          </w:tcPr>
          <w:p w14:paraId="4BC6F8CD">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074193C8">
            <w:pPr>
              <w:keepNext w:val="0"/>
              <w:keepLines w:val="0"/>
              <w:pageBreakBefore w:val="0"/>
              <w:kinsoku/>
              <w:wordWrap/>
              <w:overflowPunct/>
              <w:topLinePunct/>
              <w:bidi w:val="0"/>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硕士研究生及以上学历</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sz w:val="20"/>
                <w:szCs w:val="20"/>
                <w:lang w:val="en-US" w:eastAsia="zh-CN"/>
              </w:rPr>
              <w:t>专业不限</w:t>
            </w:r>
          </w:p>
          <w:p w14:paraId="0FC0F374">
            <w:pPr>
              <w:keepNext w:val="0"/>
              <w:keepLines w:val="0"/>
              <w:pageBreakBefore w:val="0"/>
              <w:kinsoku/>
              <w:wordWrap/>
              <w:overflowPunct/>
              <w:topLinePunct/>
              <w:bidi w:val="0"/>
              <w:spacing w:line="0" w:lineRule="atLeast"/>
              <w:jc w:val="left"/>
              <w:rPr>
                <w:rFonts w:hint="eastAsia" w:ascii="仿宋_GB2312" w:hAnsi="仿宋_GB2312" w:eastAsia="仿宋_GB2312" w:cs="仿宋_GB2312"/>
                <w:sz w:val="20"/>
                <w:szCs w:val="20"/>
              </w:rPr>
            </w:pPr>
          </w:p>
        </w:tc>
        <w:tc>
          <w:tcPr>
            <w:tcW w:w="1646" w:type="pct"/>
            <w:tcBorders>
              <w:left w:val="single" w:color="auto" w:sz="4" w:space="0"/>
            </w:tcBorders>
            <w:noWrap w:val="0"/>
            <w:vAlign w:val="center"/>
          </w:tcPr>
          <w:p w14:paraId="71F6DB02">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1.协助寻找和筛选潜在的投资机会，进行市场调研和项目分析；</w:t>
            </w:r>
          </w:p>
          <w:p w14:paraId="168EA2A4">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2.参与协助对潜在投资项目进行尽职调查，包括财务、法律和业务方面的评估；</w:t>
            </w:r>
          </w:p>
          <w:p w14:paraId="0A7CB51D">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3.参与投资决策过程，准备投资提案和相关文件；</w:t>
            </w:r>
          </w:p>
          <w:p w14:paraId="5A0A3513">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4.协助完成投资交易的执行，包括谈判、合同起草和交割；</w:t>
            </w:r>
          </w:p>
          <w:p w14:paraId="215E97AD">
            <w:pPr>
              <w:keepNext w:val="0"/>
              <w:keepLines w:val="0"/>
              <w:pageBreakBefore w:val="0"/>
              <w:kinsoku/>
              <w:wordWrap/>
              <w:overflowPunct/>
              <w:topLinePunct/>
              <w:bidi w:val="0"/>
              <w:spacing w:line="0" w:lineRule="atLeas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5.跟踪投资项目的表现，及时识别和应对潜在风险。</w:t>
            </w:r>
          </w:p>
        </w:tc>
        <w:tc>
          <w:tcPr>
            <w:tcW w:w="1528" w:type="pct"/>
            <w:noWrap w:val="0"/>
            <w:vAlign w:val="center"/>
          </w:tcPr>
          <w:p w14:paraId="2529F1CE">
            <w:pPr>
              <w:keepNext w:val="0"/>
              <w:keepLines w:val="0"/>
              <w:pageBreakBefore w:val="0"/>
              <w:kinsoku/>
              <w:wordWrap/>
              <w:overflowPunct/>
              <w:topLinePunct/>
              <w:bidi w:val="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w:t>
            </w:r>
            <w:r>
              <w:rPr>
                <w:rFonts w:hint="eastAsia" w:ascii="仿宋_GB2312" w:hAnsi="仿宋_GB2312" w:eastAsia="仿宋_GB2312" w:cs="仿宋_GB2312"/>
                <w:sz w:val="20"/>
                <w:szCs w:val="20"/>
              </w:rPr>
              <w:t>.年龄35周岁以下</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sz w:val="20"/>
                <w:szCs w:val="20"/>
              </w:rPr>
              <w:t>具</w:t>
            </w:r>
            <w:r>
              <w:rPr>
                <w:rFonts w:hint="eastAsia" w:ascii="仿宋_GB2312" w:hAnsi="仿宋_GB2312" w:eastAsia="仿宋_GB2312" w:cs="仿宋_GB2312"/>
                <w:sz w:val="20"/>
                <w:szCs w:val="20"/>
                <w:lang w:val="en-US" w:eastAsia="zh-CN"/>
              </w:rPr>
              <w:t>有</w:t>
            </w:r>
            <w:r>
              <w:rPr>
                <w:rFonts w:hint="eastAsia" w:ascii="仿宋_GB2312" w:hAnsi="仿宋_GB2312" w:eastAsia="仿宋_GB2312" w:cs="仿宋_GB2312"/>
                <w:sz w:val="20"/>
                <w:szCs w:val="20"/>
              </w:rPr>
              <w:t>5年以上投资相关工作经验，具备行业研究和一级市场股权投资相关工作经验，需提供自己撰写的行业研究报告或投资项目建议书；</w:t>
            </w:r>
          </w:p>
          <w:p w14:paraId="01DFFD18">
            <w:pPr>
              <w:keepNext w:val="0"/>
              <w:keepLines w:val="0"/>
              <w:pageBreakBefore w:val="0"/>
              <w:kinsoku/>
              <w:wordWrap/>
              <w:overflowPunct/>
              <w:topLinePunct/>
              <w:bidi w:val="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w:t>
            </w:r>
            <w:r>
              <w:rPr>
                <w:rFonts w:hint="eastAsia" w:ascii="仿宋_GB2312" w:hAnsi="仿宋_GB2312" w:eastAsia="仿宋_GB2312" w:cs="仿宋_GB2312"/>
                <w:sz w:val="20"/>
                <w:szCs w:val="20"/>
              </w:rPr>
              <w:t>.具备扎实的项目分析、判断能力，熟悉一级市场股权投资业务，能独立开展项目尽调和报告撰写工作，参与过多项目的尽职调查、投后管理和投资退出工作；</w:t>
            </w:r>
          </w:p>
          <w:p w14:paraId="2BFED1D5">
            <w:pPr>
              <w:keepNext w:val="0"/>
              <w:keepLines w:val="0"/>
              <w:pageBreakBefore w:val="0"/>
              <w:kinsoku/>
              <w:wordWrap/>
              <w:overflowPunct/>
              <w:topLinePunct/>
              <w:bidi w:val="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w:t>
            </w:r>
            <w:r>
              <w:rPr>
                <w:rFonts w:hint="eastAsia" w:ascii="仿宋_GB2312" w:hAnsi="仿宋_GB2312" w:eastAsia="仿宋_GB2312" w:cs="仿宋_GB2312"/>
                <w:sz w:val="20"/>
                <w:szCs w:val="20"/>
              </w:rPr>
              <w:t>.具备扎实的项目分析、判断能力，熟悉股权投融资业务，熟悉股权投融资工作各个环节，能独立开展项目投资的调研和论证工作；</w:t>
            </w:r>
          </w:p>
          <w:p w14:paraId="7264650E">
            <w:pPr>
              <w:keepNext w:val="0"/>
              <w:keepLines w:val="0"/>
              <w:pageBreakBefore w:val="0"/>
              <w:kinsoku/>
              <w:wordWrap/>
              <w:overflowPunct/>
              <w:topLinePunct/>
              <w:bidi w:val="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w:t>
            </w:r>
            <w:r>
              <w:rPr>
                <w:rFonts w:hint="eastAsia" w:ascii="仿宋_GB2312" w:hAnsi="仿宋_GB2312" w:eastAsia="仿宋_GB2312" w:cs="仿宋_GB2312"/>
                <w:sz w:val="20"/>
                <w:szCs w:val="20"/>
              </w:rPr>
              <w:t>.熟悉投资业务流程，熟悉资本市场，熟悉国家金融、经济法律法规及私募基金行业相关监管规定；精通私募股权投资基金相关政策法规，熟悉募、投、管、退投资流程。</w:t>
            </w:r>
          </w:p>
        </w:tc>
      </w:tr>
      <w:tr w14:paraId="5E48DC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40" w:hRule="atLeast"/>
          <w:jc w:val="center"/>
        </w:trPr>
        <w:tc>
          <w:tcPr>
            <w:tcW w:w="165" w:type="pct"/>
            <w:noWrap w:val="0"/>
            <w:vAlign w:val="center"/>
          </w:tcPr>
          <w:p w14:paraId="778A88B4">
            <w:pPr>
              <w:keepNext w:val="0"/>
              <w:keepLines w:val="0"/>
              <w:pageBreakBefore w:val="0"/>
              <w:kinsoku/>
              <w:wordWrap/>
              <w:overflowPunct/>
              <w:topLinePunct/>
              <w:bidi w:val="0"/>
              <w:spacing w:before="75" w:line="183" w:lineRule="auto"/>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w:t>
            </w:r>
          </w:p>
        </w:tc>
        <w:tc>
          <w:tcPr>
            <w:tcW w:w="344" w:type="pct"/>
            <w:noWrap w:val="0"/>
            <w:vAlign w:val="center"/>
          </w:tcPr>
          <w:p w14:paraId="6E3052F7">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江西省创业投资管理有限公司</w:t>
            </w:r>
          </w:p>
        </w:tc>
        <w:tc>
          <w:tcPr>
            <w:tcW w:w="272" w:type="pct"/>
            <w:noWrap w:val="0"/>
            <w:vAlign w:val="center"/>
          </w:tcPr>
          <w:p w14:paraId="07A6D16F">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w:t>
            </w:r>
          </w:p>
        </w:tc>
        <w:tc>
          <w:tcPr>
            <w:tcW w:w="331" w:type="pct"/>
            <w:noWrap w:val="0"/>
            <w:vAlign w:val="center"/>
          </w:tcPr>
          <w:p w14:paraId="60DB1BCE">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管理培训生</w:t>
            </w:r>
          </w:p>
        </w:tc>
        <w:tc>
          <w:tcPr>
            <w:tcW w:w="211" w:type="pct"/>
            <w:noWrap w:val="0"/>
            <w:vAlign w:val="center"/>
          </w:tcPr>
          <w:p w14:paraId="6200DA5A">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07C0A835">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硕士研究生及</w:t>
            </w:r>
          </w:p>
          <w:p w14:paraId="5A487487">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以上学历</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sz w:val="20"/>
                <w:szCs w:val="20"/>
                <w:lang w:val="en-US" w:eastAsia="zh-CN"/>
              </w:rPr>
              <w:t>信息技术、电子计算机、软件工程、数据分析等相关专业（以最高学历专业为准）</w:t>
            </w:r>
          </w:p>
        </w:tc>
        <w:tc>
          <w:tcPr>
            <w:tcW w:w="1646" w:type="pct"/>
            <w:tcBorders>
              <w:left w:val="single" w:color="auto" w:sz="4" w:space="0"/>
            </w:tcBorders>
            <w:noWrap w:val="0"/>
            <w:vAlign w:val="center"/>
          </w:tcPr>
          <w:p w14:paraId="2BFC0E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napToGrid w:val="0"/>
                <w:color w:val="000000"/>
                <w:kern w:val="0"/>
                <w:sz w:val="20"/>
                <w:szCs w:val="20"/>
                <w:lang w:val="en-US" w:eastAsia="zh-CN" w:bidi="ar-SA"/>
              </w:rPr>
            </w:pPr>
            <w:r>
              <w:rPr>
                <w:rFonts w:hint="eastAsia" w:ascii="仿宋_GB2312" w:hAnsi="仿宋_GB2312" w:eastAsia="仿宋_GB2312" w:cs="仿宋_GB2312"/>
                <w:sz w:val="20"/>
                <w:szCs w:val="20"/>
                <w:lang w:val="en-US" w:eastAsia="zh-CN"/>
              </w:rPr>
              <w:t>1</w:t>
            </w:r>
            <w:r>
              <w:rPr>
                <w:rFonts w:hint="eastAsia" w:ascii="仿宋_GB2312" w:hAnsi="仿宋_GB2312" w:eastAsia="仿宋_GB2312" w:cs="仿宋_GB2312"/>
                <w:snapToGrid w:val="0"/>
                <w:color w:val="000000"/>
                <w:kern w:val="0"/>
                <w:sz w:val="20"/>
                <w:szCs w:val="20"/>
                <w:lang w:val="en-US" w:eastAsia="zh-CN" w:bidi="ar-SA"/>
              </w:rPr>
              <w:t>.积极完成每阶段的轮岗目标及任务；</w:t>
            </w:r>
          </w:p>
          <w:p w14:paraId="6F20FA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napToGrid w:val="0"/>
                <w:color w:val="000000"/>
                <w:kern w:val="0"/>
                <w:sz w:val="20"/>
                <w:szCs w:val="20"/>
                <w:lang w:val="en-US" w:eastAsia="zh-CN" w:bidi="ar-SA"/>
              </w:rPr>
            </w:pPr>
            <w:r>
              <w:rPr>
                <w:rFonts w:hint="eastAsia" w:ascii="仿宋_GB2312" w:hAnsi="仿宋_GB2312" w:eastAsia="仿宋_GB2312" w:cs="仿宋_GB2312"/>
                <w:snapToGrid w:val="0"/>
                <w:color w:val="000000"/>
                <w:kern w:val="0"/>
                <w:sz w:val="20"/>
                <w:szCs w:val="20"/>
                <w:lang w:val="en-US" w:eastAsia="zh-CN" w:bidi="ar-SA"/>
              </w:rPr>
              <w:t>2.完成数字采购、数字健康、数字咨询等方面具体的市场、研发、运营等相关工作；</w:t>
            </w:r>
          </w:p>
          <w:p w14:paraId="3F3BDA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napToGrid w:val="0"/>
                <w:color w:val="000000"/>
                <w:kern w:val="0"/>
                <w:sz w:val="20"/>
                <w:szCs w:val="20"/>
                <w:lang w:val="en-US" w:eastAsia="zh-CN" w:bidi="ar-SA"/>
              </w:rPr>
            </w:pPr>
            <w:r>
              <w:rPr>
                <w:rFonts w:hint="eastAsia" w:ascii="仿宋_GB2312" w:hAnsi="仿宋_GB2312" w:eastAsia="仿宋_GB2312" w:cs="仿宋_GB2312"/>
                <w:snapToGrid w:val="0"/>
                <w:color w:val="000000"/>
                <w:kern w:val="0"/>
                <w:sz w:val="20"/>
                <w:szCs w:val="20"/>
                <w:lang w:val="en-US" w:eastAsia="zh-CN" w:bidi="ar-SA"/>
              </w:rPr>
              <w:t>3.按照培养计划，满足培养结束后岗位胜任条件。</w:t>
            </w:r>
          </w:p>
          <w:p w14:paraId="5A78B62B">
            <w:pPr>
              <w:keepNext w:val="0"/>
              <w:keepLines w:val="0"/>
              <w:pageBreakBefore w:val="0"/>
              <w:kinsoku/>
              <w:wordWrap/>
              <w:overflowPunct/>
              <w:topLinePunct/>
              <w:bidi w:val="0"/>
              <w:spacing w:line="0" w:lineRule="atLeast"/>
              <w:jc w:val="left"/>
              <w:rPr>
                <w:rFonts w:hint="eastAsia" w:ascii="仿宋_GB2312" w:hAnsi="仿宋_GB2312" w:eastAsia="仿宋_GB2312" w:cs="仿宋_GB2312"/>
                <w:sz w:val="20"/>
                <w:szCs w:val="20"/>
                <w:lang w:val="en-US" w:eastAsia="zh-CN"/>
              </w:rPr>
            </w:pPr>
          </w:p>
        </w:tc>
        <w:tc>
          <w:tcPr>
            <w:tcW w:w="1528" w:type="pct"/>
            <w:noWrap w:val="0"/>
            <w:vAlign w:val="center"/>
          </w:tcPr>
          <w:p w14:paraId="107CB953">
            <w:pPr>
              <w:keepNext w:val="0"/>
              <w:keepLines w:val="0"/>
              <w:pageBreakBefore w:val="0"/>
              <w:widowControl w:val="0"/>
              <w:kinsoku/>
              <w:wordWrap/>
              <w:overflowPunct/>
              <w:topLinePunct/>
              <w:autoSpaceDE/>
              <w:autoSpaceDN/>
              <w:bidi w:val="0"/>
              <w:adjustRightInd/>
              <w:snapToGrid/>
              <w:spacing w:line="26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1.年龄30周岁以下，该岗位面向2025年应届毕业生及毕业时间在2年择业期内的高校毕业生；</w:t>
            </w:r>
          </w:p>
          <w:p w14:paraId="69DB2FB1">
            <w:pPr>
              <w:keepNext w:val="0"/>
              <w:keepLines w:val="0"/>
              <w:pageBreakBefore w:val="0"/>
              <w:widowControl w:val="0"/>
              <w:kinsoku/>
              <w:wordWrap/>
              <w:overflowPunct/>
              <w:topLinePunct/>
              <w:autoSpaceDE/>
              <w:autoSpaceDN/>
              <w:bidi w:val="0"/>
              <w:adjustRightInd/>
              <w:snapToGrid/>
              <w:spacing w:line="26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2.有良好的专业理论能力，须提供在校期间学习成绩单；</w:t>
            </w:r>
          </w:p>
          <w:p w14:paraId="2C4DE9BA">
            <w:pPr>
              <w:keepNext w:val="0"/>
              <w:keepLines w:val="0"/>
              <w:pageBreakBefore w:val="0"/>
              <w:widowControl w:val="0"/>
              <w:kinsoku/>
              <w:wordWrap/>
              <w:overflowPunct/>
              <w:topLinePunct/>
              <w:autoSpaceDE/>
              <w:autoSpaceDN/>
              <w:bidi w:val="0"/>
              <w:adjustRightInd/>
              <w:snapToGrid/>
              <w:spacing w:line="26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3.较强的责任心和敬业精神，具有一定的科研能力和较好的沟通协调能力；</w:t>
            </w:r>
          </w:p>
          <w:p w14:paraId="554CE777">
            <w:pPr>
              <w:keepNext w:val="0"/>
              <w:keepLines w:val="0"/>
              <w:pageBreakBefore w:val="0"/>
              <w:widowControl w:val="0"/>
              <w:kinsoku/>
              <w:wordWrap/>
              <w:overflowPunct/>
              <w:topLinePunct/>
              <w:autoSpaceDE/>
              <w:autoSpaceDN/>
              <w:bidi w:val="0"/>
              <w:adjustRightInd/>
              <w:snapToGrid/>
              <w:spacing w:line="26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4.品行端正、身心健康、工作主动、团队精神强，中共党员优先；</w:t>
            </w:r>
          </w:p>
          <w:p w14:paraId="42D16763">
            <w:pPr>
              <w:keepNext w:val="0"/>
              <w:keepLines w:val="0"/>
              <w:pageBreakBefore w:val="0"/>
              <w:widowControl w:val="0"/>
              <w:kinsoku/>
              <w:wordWrap/>
              <w:overflowPunct/>
              <w:topLinePunct/>
              <w:autoSpaceDE/>
              <w:autoSpaceDN/>
              <w:bidi w:val="0"/>
              <w:adjustRightInd/>
              <w:snapToGrid/>
              <w:spacing w:line="26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5学习期间参加数字技术行业社会实践、实习、兼职等经历优先。</w:t>
            </w:r>
          </w:p>
        </w:tc>
      </w:tr>
      <w:tr w14:paraId="103AE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65" w:type="pct"/>
            <w:noWrap w:val="0"/>
            <w:vAlign w:val="center"/>
          </w:tcPr>
          <w:p w14:paraId="08811448">
            <w:pPr>
              <w:keepNext w:val="0"/>
              <w:keepLines w:val="0"/>
              <w:pageBreakBefore w:val="0"/>
              <w:kinsoku/>
              <w:wordWrap/>
              <w:overflowPunct/>
              <w:topLinePunct/>
              <w:bidi w:val="0"/>
              <w:spacing w:before="75" w:line="183" w:lineRule="auto"/>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w:t>
            </w:r>
          </w:p>
        </w:tc>
        <w:tc>
          <w:tcPr>
            <w:tcW w:w="344" w:type="pct"/>
            <w:noWrap w:val="0"/>
            <w:vAlign w:val="center"/>
          </w:tcPr>
          <w:p w14:paraId="5F06CAE8">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江西省创业投资管理有限公司</w:t>
            </w:r>
          </w:p>
        </w:tc>
        <w:tc>
          <w:tcPr>
            <w:tcW w:w="272" w:type="pct"/>
            <w:noWrap w:val="0"/>
            <w:vAlign w:val="center"/>
          </w:tcPr>
          <w:p w14:paraId="3F367AFA">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数字采购事业部</w:t>
            </w:r>
          </w:p>
        </w:tc>
        <w:tc>
          <w:tcPr>
            <w:tcW w:w="331" w:type="pct"/>
            <w:noWrap w:val="0"/>
            <w:vAlign w:val="center"/>
          </w:tcPr>
          <w:p w14:paraId="18A8232A">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客户经理</w:t>
            </w:r>
          </w:p>
        </w:tc>
        <w:tc>
          <w:tcPr>
            <w:tcW w:w="211" w:type="pct"/>
            <w:noWrap w:val="0"/>
            <w:vAlign w:val="center"/>
          </w:tcPr>
          <w:p w14:paraId="3E8B10AA">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6CF21575">
            <w:pPr>
              <w:keepNext w:val="0"/>
              <w:keepLines w:val="0"/>
              <w:pageBreakBefore w:val="0"/>
              <w:kinsoku/>
              <w:wordWrap/>
              <w:overflowPunct/>
              <w:topLinePunct/>
              <w:bidi w:val="0"/>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本科及以上学历，专业不限</w:t>
            </w:r>
          </w:p>
          <w:p w14:paraId="6A876557">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rPr>
            </w:pPr>
          </w:p>
        </w:tc>
        <w:tc>
          <w:tcPr>
            <w:tcW w:w="1646" w:type="pct"/>
            <w:tcBorders>
              <w:left w:val="single" w:color="auto" w:sz="4" w:space="0"/>
            </w:tcBorders>
            <w:noWrap w:val="0"/>
            <w:vAlign w:val="center"/>
          </w:tcPr>
          <w:p w14:paraId="16D3EB09">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br w:type="textWrapping"/>
            </w:r>
            <w:r>
              <w:rPr>
                <w:rFonts w:hint="eastAsia" w:ascii="仿宋_GB2312" w:hAnsi="仿宋_GB2312" w:eastAsia="仿宋_GB2312" w:cs="仿宋_GB2312"/>
                <w:sz w:val="20"/>
                <w:szCs w:val="20"/>
                <w:lang w:val="en-US" w:eastAsia="zh-CN"/>
              </w:rPr>
              <w:t>1.负责公司采销平台的市场化推广工作，引导采购单位在平台进行采购。</w:t>
            </w:r>
          </w:p>
          <w:p w14:paraId="0C65D96A">
            <w:pPr>
              <w:keepNext w:val="0"/>
              <w:keepLines w:val="0"/>
              <w:pageBreakBefore w:val="0"/>
              <w:numPr>
                <w:ilvl w:val="0"/>
                <w:numId w:val="0"/>
              </w:numPr>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2.承担公司下达的销售业绩指标（包括但不限于销售额、回款额、市场占有率等），制定并执行个人销售计划。</w:t>
            </w:r>
            <w:r>
              <w:rPr>
                <w:rFonts w:hint="eastAsia" w:ascii="仿宋_GB2312" w:hAnsi="仿宋_GB2312" w:eastAsia="仿宋_GB2312" w:cs="仿宋_GB2312"/>
                <w:sz w:val="20"/>
                <w:szCs w:val="20"/>
                <w:lang w:val="en-US" w:eastAsia="zh-CN"/>
              </w:rPr>
              <w:br w:type="textWrapping"/>
            </w:r>
            <w:r>
              <w:rPr>
                <w:rFonts w:hint="eastAsia" w:ascii="仿宋_GB2312" w:hAnsi="仿宋_GB2312" w:eastAsia="仿宋_GB2312" w:cs="仿宋_GB2312"/>
                <w:sz w:val="20"/>
                <w:szCs w:val="20"/>
                <w:lang w:val="en-US" w:eastAsia="zh-CN"/>
              </w:rPr>
              <w:t>3.分析行业竞品及平台功能，制定并实施差异化的市场推广策略。</w:t>
            </w:r>
            <w:r>
              <w:rPr>
                <w:rFonts w:hint="eastAsia" w:ascii="仿宋_GB2312" w:hAnsi="仿宋_GB2312" w:eastAsia="仿宋_GB2312" w:cs="仿宋_GB2312"/>
                <w:sz w:val="20"/>
                <w:szCs w:val="20"/>
                <w:lang w:val="en-US" w:eastAsia="zh-CN"/>
              </w:rPr>
              <w:br w:type="textWrapping"/>
            </w:r>
            <w:r>
              <w:rPr>
                <w:rFonts w:hint="eastAsia" w:ascii="仿宋_GB2312" w:hAnsi="仿宋_GB2312" w:eastAsia="仿宋_GB2312" w:cs="仿宋_GB2312"/>
                <w:sz w:val="20"/>
                <w:szCs w:val="20"/>
                <w:lang w:val="en-US" w:eastAsia="zh-CN"/>
              </w:rPr>
              <w:t>4.深入理解采购单位需求，收集并分析其采购内控制度，协助采购单位优化内控制度。</w:t>
            </w:r>
          </w:p>
          <w:p w14:paraId="4ED38467">
            <w:pPr>
              <w:keepNext w:val="0"/>
              <w:keepLines w:val="0"/>
              <w:pageBreakBefore w:val="0"/>
              <w:numPr>
                <w:ilvl w:val="0"/>
                <w:numId w:val="0"/>
              </w:numPr>
              <w:kinsoku/>
              <w:wordWrap/>
              <w:overflowPunct/>
              <w:topLinePunct/>
              <w:bidi w:val="0"/>
              <w:spacing w:line="0" w:lineRule="atLeast"/>
              <w:ind w:left="0" w:leftChars="0" w:firstLine="0" w:firstLineChars="0"/>
              <w:jc w:val="both"/>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5.围绕国企数字化转型，挖掘企业信息化项目需求。</w:t>
            </w:r>
          </w:p>
        </w:tc>
        <w:tc>
          <w:tcPr>
            <w:tcW w:w="1528" w:type="pct"/>
            <w:noWrap w:val="0"/>
            <w:vAlign w:val="center"/>
          </w:tcPr>
          <w:p w14:paraId="53E85417">
            <w:pPr>
              <w:keepNext w:val="0"/>
              <w:keepLines w:val="0"/>
              <w:pageBreakBefore w:val="0"/>
              <w:widowControl/>
              <w:kinsoku/>
              <w:wordWrap/>
              <w:overflowPunct/>
              <w:topLinePunct/>
              <w:autoSpaceDE w:val="0"/>
              <w:autoSpaceDN w:val="0"/>
              <w:bidi w:val="0"/>
              <w:adjustRightInd w:val="0"/>
              <w:snapToGrid w:val="0"/>
              <w:spacing w:line="0" w:lineRule="atLeast"/>
              <w:jc w:val="both"/>
              <w:textAlignment w:val="baseline"/>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r>
              <w:rPr>
                <w:rFonts w:hint="eastAsia" w:ascii="仿宋_GB2312" w:hAnsi="仿宋_GB2312" w:eastAsia="仿宋_GB2312" w:cs="仿宋_GB2312"/>
                <w:sz w:val="20"/>
                <w:szCs w:val="20"/>
              </w:rPr>
              <w:t>年龄</w:t>
            </w:r>
            <w:r>
              <w:rPr>
                <w:rFonts w:hint="eastAsia" w:ascii="仿宋_GB2312" w:hAnsi="仿宋_GB2312" w:eastAsia="仿宋_GB2312" w:cs="仿宋_GB2312"/>
                <w:sz w:val="20"/>
                <w:szCs w:val="20"/>
                <w:lang w:val="en-US" w:eastAsia="zh-CN"/>
              </w:rPr>
              <w:t>30周岁以下，具有2年以上面向政府机构或国有企业的市场推广经验，拥有互联网平台、信息化项目、新能源智能化等行业相关经验；</w:t>
            </w:r>
          </w:p>
          <w:p w14:paraId="2C1F7DE2">
            <w:pPr>
              <w:keepNext w:val="0"/>
              <w:keepLines w:val="0"/>
              <w:pageBreakBefore w:val="0"/>
              <w:widowControl/>
              <w:kinsoku/>
              <w:wordWrap/>
              <w:overflowPunct/>
              <w:topLinePunct/>
              <w:autoSpaceDE w:val="0"/>
              <w:autoSpaceDN w:val="0"/>
              <w:bidi w:val="0"/>
              <w:adjustRightInd w:val="0"/>
              <w:snapToGrid w:val="0"/>
              <w:spacing w:line="0" w:lineRule="atLeast"/>
              <w:jc w:val="both"/>
              <w:textAlignment w:val="baseline"/>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2.过往业绩突出，能提供连续完成或超额完成销售目标、实现所负责客户/区域业绩显著增长或成功落地重大标杆项目的证明。</w:t>
            </w:r>
          </w:p>
          <w:p w14:paraId="5ECF35EA">
            <w:pPr>
              <w:keepNext w:val="0"/>
              <w:keepLines w:val="0"/>
              <w:pageBreakBefore w:val="0"/>
              <w:widowControl/>
              <w:kinsoku/>
              <w:wordWrap/>
              <w:overflowPunct/>
              <w:topLinePunct/>
              <w:autoSpaceDE w:val="0"/>
              <w:autoSpaceDN w:val="0"/>
              <w:bidi w:val="0"/>
              <w:adjustRightInd w:val="0"/>
              <w:snapToGrid w:val="0"/>
              <w:spacing w:line="0" w:lineRule="atLeast"/>
              <w:jc w:val="both"/>
              <w:textAlignment w:val="baseline"/>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3.有较好的省属或市属重点国有企业关系基础，熟悉政府及国企采购规则与招投标流程；</w:t>
            </w:r>
          </w:p>
          <w:p w14:paraId="3F702763">
            <w:pPr>
              <w:keepNext w:val="0"/>
              <w:keepLines w:val="0"/>
              <w:pageBreakBefore w:val="0"/>
              <w:widowControl/>
              <w:kinsoku/>
              <w:wordWrap/>
              <w:overflowPunct/>
              <w:topLinePunct/>
              <w:autoSpaceDE w:val="0"/>
              <w:autoSpaceDN w:val="0"/>
              <w:bidi w:val="0"/>
              <w:adjustRightInd w:val="0"/>
              <w:snapToGrid w:val="0"/>
              <w:spacing w:line="0" w:lineRule="atLeast"/>
              <w:jc w:val="both"/>
              <w:textAlignment w:val="baseline"/>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4.具备优秀的市场洞察力、商务谈判能力及客户需求分析能力；具备独立开拓市场、跟踪销售线索、收集并深挖客户需求、制定针对性解决方案的能力。</w:t>
            </w:r>
          </w:p>
          <w:p w14:paraId="66325874">
            <w:pPr>
              <w:keepNext w:val="0"/>
              <w:keepLines w:val="0"/>
              <w:pageBreakBefore w:val="0"/>
              <w:widowControl/>
              <w:kinsoku/>
              <w:wordWrap/>
              <w:overflowPunct/>
              <w:topLinePunct/>
              <w:autoSpaceDE w:val="0"/>
              <w:autoSpaceDN w:val="0"/>
              <w:bidi w:val="0"/>
              <w:adjustRightInd w:val="0"/>
              <w:snapToGrid w:val="0"/>
              <w:spacing w:line="0" w:lineRule="atLeast"/>
              <w:jc w:val="both"/>
              <w:textAlignment w:val="baseline"/>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5.目标导向清晰，自驱力强，具备在高压力环境下高效工作的能力；能适应高频次出差的工作要求。</w:t>
            </w:r>
          </w:p>
        </w:tc>
      </w:tr>
      <w:tr w14:paraId="49FA8E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jc w:val="center"/>
        </w:trPr>
        <w:tc>
          <w:tcPr>
            <w:tcW w:w="165" w:type="pct"/>
            <w:noWrap w:val="0"/>
            <w:vAlign w:val="center"/>
          </w:tcPr>
          <w:p w14:paraId="4CC1505B">
            <w:pPr>
              <w:keepNext w:val="0"/>
              <w:keepLines w:val="0"/>
              <w:pageBreakBefore w:val="0"/>
              <w:kinsoku/>
              <w:wordWrap/>
              <w:overflowPunct/>
              <w:topLinePunct/>
              <w:bidi w:val="0"/>
              <w:spacing w:before="75" w:line="183" w:lineRule="auto"/>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w:t>
            </w:r>
          </w:p>
        </w:tc>
        <w:tc>
          <w:tcPr>
            <w:tcW w:w="344" w:type="pct"/>
            <w:noWrap w:val="0"/>
            <w:vAlign w:val="center"/>
          </w:tcPr>
          <w:p w14:paraId="124C1992">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江西省创业投资管理有限公司</w:t>
            </w:r>
          </w:p>
        </w:tc>
        <w:tc>
          <w:tcPr>
            <w:tcW w:w="272" w:type="pct"/>
            <w:noWrap w:val="0"/>
            <w:vAlign w:val="center"/>
          </w:tcPr>
          <w:p w14:paraId="525D5670">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数字采购事业部</w:t>
            </w:r>
          </w:p>
        </w:tc>
        <w:tc>
          <w:tcPr>
            <w:tcW w:w="331" w:type="pct"/>
            <w:noWrap w:val="0"/>
            <w:vAlign w:val="center"/>
          </w:tcPr>
          <w:p w14:paraId="5C2ACCB2">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产品经理</w:t>
            </w:r>
          </w:p>
        </w:tc>
        <w:tc>
          <w:tcPr>
            <w:tcW w:w="211" w:type="pct"/>
            <w:noWrap w:val="0"/>
            <w:vAlign w:val="center"/>
          </w:tcPr>
          <w:p w14:paraId="7714DF9F">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319BF2B1">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本科及以上学历，计算机、软件相关专业</w:t>
            </w:r>
          </w:p>
        </w:tc>
        <w:tc>
          <w:tcPr>
            <w:tcW w:w="1646" w:type="pct"/>
            <w:tcBorders>
              <w:left w:val="single" w:color="auto" w:sz="4" w:space="0"/>
            </w:tcBorders>
            <w:noWrap w:val="0"/>
            <w:vAlign w:val="center"/>
          </w:tcPr>
          <w:p w14:paraId="5F17D43C">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1.负责赣餐码、寻源供应链等平台产品规划；</w:t>
            </w:r>
          </w:p>
          <w:p w14:paraId="618564FE">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2.负责需求分析，同类产品分析，并输出详细产品流程设计、产品原型及功能设计；</w:t>
            </w:r>
          </w:p>
          <w:p w14:paraId="6FA63777">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3.负责跟进研发、UI设计、测试等部门沟通，确保各个协作部门对产品的充分理解；</w:t>
            </w:r>
          </w:p>
          <w:p w14:paraId="13D750AF">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4.负责推动及协调产品的开发进度，监控规划设计至测试发布的全过程；</w:t>
            </w:r>
          </w:p>
          <w:p w14:paraId="0C5F058B">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6.对维护和实施部门进行产品培训，协助完成产品发布上线工作。</w:t>
            </w:r>
          </w:p>
        </w:tc>
        <w:tc>
          <w:tcPr>
            <w:tcW w:w="1528" w:type="pct"/>
            <w:noWrap w:val="0"/>
            <w:vAlign w:val="center"/>
          </w:tcPr>
          <w:p w14:paraId="5210CD47">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r>
              <w:rPr>
                <w:rFonts w:hint="eastAsia" w:ascii="仿宋_GB2312" w:hAnsi="仿宋_GB2312" w:eastAsia="仿宋_GB2312" w:cs="仿宋_GB2312"/>
                <w:sz w:val="20"/>
                <w:szCs w:val="20"/>
              </w:rPr>
              <w:t>年龄</w:t>
            </w:r>
            <w:r>
              <w:rPr>
                <w:rFonts w:hint="eastAsia" w:ascii="仿宋_GB2312" w:hAnsi="仿宋_GB2312" w:eastAsia="仿宋_GB2312" w:cs="仿宋_GB2312"/>
                <w:sz w:val="20"/>
                <w:szCs w:val="20"/>
                <w:lang w:val="en-US" w:eastAsia="zh-CN"/>
              </w:rPr>
              <w:t>30周岁以下，具有2年以上平台型产品经理工作经验；</w:t>
            </w:r>
          </w:p>
          <w:p w14:paraId="5FAA32B8">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2.能够独立进行业务调研分析、产品规划、文档编写、功能 原型设计；能熟练应用各类产品工具（Axure、Visio、PPT、word等）；</w:t>
            </w:r>
          </w:p>
          <w:p w14:paraId="003E8D8A">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3.具有良好的逻辑思维能力、团队协作和沟通表达能力，与内外部沟通协调，能够在复杂的环境中推进项目前进，创新意识强，有热情；</w:t>
            </w:r>
          </w:p>
          <w:p w14:paraId="01FFDDBB">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4.有大型项目管理经验者优先；</w:t>
            </w:r>
          </w:p>
          <w:p w14:paraId="62B82FC7">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5.积极、向上、富有团队精神，有责任心，抗压能力，具备快速学习能力。</w:t>
            </w:r>
          </w:p>
        </w:tc>
      </w:tr>
      <w:tr w14:paraId="2736A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3" w:hRule="atLeast"/>
          <w:jc w:val="center"/>
        </w:trPr>
        <w:tc>
          <w:tcPr>
            <w:tcW w:w="165" w:type="pct"/>
            <w:noWrap w:val="0"/>
            <w:vAlign w:val="center"/>
          </w:tcPr>
          <w:p w14:paraId="3B634E09">
            <w:pPr>
              <w:keepNext w:val="0"/>
              <w:keepLines w:val="0"/>
              <w:pageBreakBefore w:val="0"/>
              <w:kinsoku/>
              <w:wordWrap/>
              <w:overflowPunct/>
              <w:topLinePunct/>
              <w:bidi w:val="0"/>
              <w:spacing w:before="75" w:line="183" w:lineRule="auto"/>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w:t>
            </w:r>
          </w:p>
        </w:tc>
        <w:tc>
          <w:tcPr>
            <w:tcW w:w="344" w:type="pct"/>
            <w:noWrap w:val="0"/>
            <w:vAlign w:val="center"/>
          </w:tcPr>
          <w:p w14:paraId="1D1CF01D">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江西省创业投资管理有限公司</w:t>
            </w:r>
          </w:p>
        </w:tc>
        <w:tc>
          <w:tcPr>
            <w:tcW w:w="272" w:type="pct"/>
            <w:noWrap w:val="0"/>
            <w:vAlign w:val="center"/>
          </w:tcPr>
          <w:p w14:paraId="218B6FF8">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数字采购事业部</w:t>
            </w:r>
          </w:p>
        </w:tc>
        <w:tc>
          <w:tcPr>
            <w:tcW w:w="331" w:type="pct"/>
            <w:noWrap w:val="0"/>
            <w:vAlign w:val="center"/>
          </w:tcPr>
          <w:p w14:paraId="5E26F1D2">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运营专员（商品策略运营岗）</w:t>
            </w:r>
          </w:p>
        </w:tc>
        <w:tc>
          <w:tcPr>
            <w:tcW w:w="211" w:type="pct"/>
            <w:noWrap w:val="0"/>
            <w:vAlign w:val="center"/>
          </w:tcPr>
          <w:p w14:paraId="2AE9DEA4">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2F8977A8">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本科及以上学历，专业不限</w:t>
            </w:r>
          </w:p>
        </w:tc>
        <w:tc>
          <w:tcPr>
            <w:tcW w:w="1646" w:type="pct"/>
            <w:tcBorders>
              <w:left w:val="single" w:color="auto" w:sz="4" w:space="0"/>
            </w:tcBorders>
            <w:noWrap w:val="0"/>
            <w:vAlign w:val="center"/>
          </w:tcPr>
          <w:p w14:paraId="1B9D7063">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1.负责平台商品库规则策略制定，优化平台商品库商品数据；</w:t>
            </w:r>
          </w:p>
          <w:p w14:paraId="7C7AA3A0">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2.制定商品价格监测策略，保障平台商品价格健康有序；</w:t>
            </w:r>
          </w:p>
          <w:p w14:paraId="66F8E4D7">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3.制定品类发展规划和年度计划，明确品类定位、目标和策略；负责平台品类供应商引入沟通及供应链维护；</w:t>
            </w:r>
          </w:p>
          <w:p w14:paraId="45013E35">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4.跟踪采购单位需求分析了解商品库商品布局并及时调整。</w:t>
            </w:r>
          </w:p>
        </w:tc>
        <w:tc>
          <w:tcPr>
            <w:tcW w:w="1528" w:type="pct"/>
            <w:noWrap w:val="0"/>
            <w:vAlign w:val="center"/>
          </w:tcPr>
          <w:p w14:paraId="1D01431F">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r>
              <w:rPr>
                <w:rFonts w:hint="eastAsia" w:ascii="仿宋_GB2312" w:hAnsi="仿宋_GB2312" w:eastAsia="仿宋_GB2312" w:cs="仿宋_GB2312"/>
                <w:sz w:val="20"/>
                <w:szCs w:val="20"/>
              </w:rPr>
              <w:t>年龄</w:t>
            </w:r>
            <w:r>
              <w:rPr>
                <w:rFonts w:hint="eastAsia" w:ascii="仿宋_GB2312" w:hAnsi="仿宋_GB2312" w:eastAsia="仿宋_GB2312" w:cs="仿宋_GB2312"/>
                <w:sz w:val="20"/>
                <w:szCs w:val="20"/>
                <w:lang w:val="en-US" w:eastAsia="zh-CN"/>
              </w:rPr>
              <w:t>30周岁以下，具有3年以上家电/零售/办公用品电商平台商品管理相关经验，擅长经营分析、用户消费分析、供应链分析；</w:t>
            </w:r>
          </w:p>
          <w:p w14:paraId="13048B5B">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2.具备优秀的逻辑思维能力、策略性和结构化的思维能力，有明确的目标导向和优先级判断；</w:t>
            </w:r>
          </w:p>
          <w:p w14:paraId="2A848AFE">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3.具备独立的数据处理分析能力，包括数据的建设、获取、整合、呈现能力，熟练掌握数据分析工具；</w:t>
            </w:r>
          </w:p>
          <w:p w14:paraId="49236D53">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4.具有优秀的沟通能力，项目执行以及管理能力，能以结果导向解决问题。</w:t>
            </w:r>
          </w:p>
        </w:tc>
      </w:tr>
      <w:tr w14:paraId="54FCC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8" w:hRule="atLeast"/>
          <w:jc w:val="center"/>
        </w:trPr>
        <w:tc>
          <w:tcPr>
            <w:tcW w:w="165" w:type="pct"/>
            <w:noWrap w:val="0"/>
            <w:vAlign w:val="center"/>
          </w:tcPr>
          <w:p w14:paraId="4E179BEB">
            <w:pPr>
              <w:keepNext w:val="0"/>
              <w:keepLines w:val="0"/>
              <w:pageBreakBefore w:val="0"/>
              <w:kinsoku/>
              <w:wordWrap/>
              <w:overflowPunct/>
              <w:topLinePunct/>
              <w:bidi w:val="0"/>
              <w:spacing w:before="75" w:line="183" w:lineRule="auto"/>
              <w:ind w:firstLine="200" w:firstLineChars="100"/>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w:t>
            </w:r>
          </w:p>
        </w:tc>
        <w:tc>
          <w:tcPr>
            <w:tcW w:w="344" w:type="pct"/>
            <w:noWrap w:val="0"/>
            <w:vAlign w:val="center"/>
          </w:tcPr>
          <w:p w14:paraId="532071B5">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江西省创业投资管理有限公司</w:t>
            </w:r>
          </w:p>
        </w:tc>
        <w:tc>
          <w:tcPr>
            <w:tcW w:w="272" w:type="pct"/>
            <w:noWrap w:val="0"/>
            <w:vAlign w:val="center"/>
          </w:tcPr>
          <w:p w14:paraId="7438F4F5">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数字采购事业部</w:t>
            </w:r>
          </w:p>
        </w:tc>
        <w:tc>
          <w:tcPr>
            <w:tcW w:w="331" w:type="pct"/>
            <w:noWrap w:val="0"/>
            <w:vAlign w:val="center"/>
          </w:tcPr>
          <w:p w14:paraId="34A9F3EE">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运营专员（规则制定方向）</w:t>
            </w:r>
          </w:p>
        </w:tc>
        <w:tc>
          <w:tcPr>
            <w:tcW w:w="211" w:type="pct"/>
            <w:noWrap w:val="0"/>
            <w:vAlign w:val="center"/>
          </w:tcPr>
          <w:p w14:paraId="65ABFB87">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23F716B0">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本科及以上学历，专业不限</w:t>
            </w:r>
          </w:p>
        </w:tc>
        <w:tc>
          <w:tcPr>
            <w:tcW w:w="1646" w:type="pct"/>
            <w:tcBorders>
              <w:left w:val="single" w:color="auto" w:sz="4" w:space="0"/>
            </w:tcBorders>
            <w:noWrap w:val="0"/>
            <w:vAlign w:val="center"/>
          </w:tcPr>
          <w:p w14:paraId="7BF0F08C">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1.负责数字采购平台相关模块运行规则拟定设计工作；</w:t>
            </w:r>
          </w:p>
          <w:p w14:paraId="421B4C95">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2.负责包括但不限于各方主体需求收集、规则梳理优化等；</w:t>
            </w:r>
          </w:p>
          <w:p w14:paraId="19106220">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3.负责为用户使用设计相应规则，平衡短期使用效率与长期产品发展需求；</w:t>
            </w:r>
          </w:p>
          <w:p w14:paraId="765E2679">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4.具备对项目的整体把控与合作方的协调合作能力；</w:t>
            </w:r>
          </w:p>
          <w:p w14:paraId="37BEA67F">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5.有良好的文字功底，具备公文写作能力。</w:t>
            </w:r>
          </w:p>
        </w:tc>
        <w:tc>
          <w:tcPr>
            <w:tcW w:w="1528" w:type="pct"/>
            <w:noWrap w:val="0"/>
            <w:vAlign w:val="center"/>
          </w:tcPr>
          <w:p w14:paraId="3415FE69">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r>
              <w:rPr>
                <w:rFonts w:hint="eastAsia" w:ascii="仿宋_GB2312" w:hAnsi="仿宋_GB2312" w:eastAsia="仿宋_GB2312" w:cs="仿宋_GB2312"/>
                <w:sz w:val="20"/>
                <w:szCs w:val="20"/>
              </w:rPr>
              <w:t>年龄</w:t>
            </w:r>
            <w:r>
              <w:rPr>
                <w:rFonts w:hint="eastAsia" w:ascii="仿宋_GB2312" w:hAnsi="仿宋_GB2312" w:eastAsia="仿宋_GB2312" w:cs="仿宋_GB2312"/>
                <w:sz w:val="20"/>
                <w:szCs w:val="20"/>
                <w:lang w:val="en-US" w:eastAsia="zh-CN"/>
              </w:rPr>
              <w:t>30周岁以下，具有2年以上大型政务管理系统或大型电商运营管理经验；</w:t>
            </w:r>
          </w:p>
          <w:p w14:paraId="149BF706">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2.有高度责任心，良好沟通能力，能较好地协调跨部门/条线解决问题；</w:t>
            </w:r>
          </w:p>
          <w:p w14:paraId="0870A00D">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3.思维逻辑清晰，有优秀的总结和文字表达能力，须提供证明材料。</w:t>
            </w:r>
          </w:p>
        </w:tc>
      </w:tr>
      <w:tr w14:paraId="31F1F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3" w:hRule="atLeast"/>
          <w:jc w:val="center"/>
        </w:trPr>
        <w:tc>
          <w:tcPr>
            <w:tcW w:w="165" w:type="pct"/>
            <w:noWrap w:val="0"/>
            <w:vAlign w:val="center"/>
          </w:tcPr>
          <w:p w14:paraId="3672E2EF">
            <w:pPr>
              <w:keepNext w:val="0"/>
              <w:keepLines w:val="0"/>
              <w:pageBreakBefore w:val="0"/>
              <w:kinsoku/>
              <w:wordWrap/>
              <w:overflowPunct/>
              <w:topLinePunct/>
              <w:bidi w:val="0"/>
              <w:spacing w:before="75" w:line="183" w:lineRule="auto"/>
              <w:ind w:firstLine="200" w:firstLineChars="100"/>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w:t>
            </w:r>
          </w:p>
        </w:tc>
        <w:tc>
          <w:tcPr>
            <w:tcW w:w="344" w:type="pct"/>
            <w:noWrap w:val="0"/>
            <w:vAlign w:val="center"/>
          </w:tcPr>
          <w:p w14:paraId="447C372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江西省创业投资管理有限公司</w:t>
            </w:r>
          </w:p>
        </w:tc>
        <w:tc>
          <w:tcPr>
            <w:tcW w:w="272" w:type="pct"/>
            <w:noWrap w:val="0"/>
            <w:vAlign w:val="center"/>
          </w:tcPr>
          <w:p w14:paraId="49D574D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集团财务共享中心</w:t>
            </w:r>
          </w:p>
        </w:tc>
        <w:tc>
          <w:tcPr>
            <w:tcW w:w="331" w:type="pct"/>
            <w:noWrap w:val="0"/>
            <w:vAlign w:val="center"/>
          </w:tcPr>
          <w:p w14:paraId="29F1CD3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业务审核岗</w:t>
            </w:r>
          </w:p>
        </w:tc>
        <w:tc>
          <w:tcPr>
            <w:tcW w:w="211" w:type="pct"/>
            <w:noWrap w:val="0"/>
            <w:vAlign w:val="center"/>
          </w:tcPr>
          <w:p w14:paraId="6A3B6F00">
            <w:pPr>
              <w:keepNext w:val="0"/>
              <w:keepLines w:val="0"/>
              <w:pageBreakBefore w:val="0"/>
              <w:kinsoku/>
              <w:wordWrap/>
              <w:overflowPunct/>
              <w:topLinePunct/>
              <w:bidi w:val="0"/>
              <w:spacing w:line="0" w:lineRule="atLeast"/>
              <w:jc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1DA9E3E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硕士研究生及以上学历，会计与审计类相关专业</w:t>
            </w:r>
          </w:p>
        </w:tc>
        <w:tc>
          <w:tcPr>
            <w:tcW w:w="1646" w:type="pct"/>
            <w:tcBorders>
              <w:left w:val="single" w:color="auto" w:sz="4" w:space="0"/>
            </w:tcBorders>
            <w:noWrap w:val="0"/>
            <w:vAlign w:val="center"/>
          </w:tcPr>
          <w:p w14:paraId="190C498F">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1.执行公司各项会计核算政策，依据审核细则、核算规范，对负责业态的收入收款类、工程采购类，资产核算类单据进行审核入账处理；对于存在问题的单据，负责与业务经办人进行沟通核实；</w:t>
            </w:r>
          </w:p>
          <w:p w14:paraId="1A179E0F">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2.负责与业务财务日常接口工作，沟通、协调业务财务提出的相关事宜；</w:t>
            </w:r>
          </w:p>
          <w:p w14:paraId="6306E702">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3.负责工程采购类、资产核算类、收入收款类、存货物资类、成本核算类业务的相关审核细则、核算规范的编写、更新、培训及宣贯；</w:t>
            </w:r>
          </w:p>
          <w:p w14:paraId="12F98E3A">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4.配合财务共享中心质量稽核、集团/公司财务各类检查和内外部审计工作，进行相关账务处理的解释；</w:t>
            </w:r>
          </w:p>
          <w:p w14:paraId="768B39F4">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5.负责投融资相关付款、借还款、利息的审核及核算；</w:t>
            </w:r>
          </w:p>
          <w:p w14:paraId="0145B790">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6.按会计准则进行投融资相关的统一的核算处理；</w:t>
            </w:r>
          </w:p>
          <w:p w14:paraId="09738413">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7.及时完成与岗位相关的其他工作及公司领导交办的其他工作。</w:t>
            </w:r>
          </w:p>
        </w:tc>
        <w:tc>
          <w:tcPr>
            <w:tcW w:w="1528" w:type="pct"/>
            <w:noWrap w:val="0"/>
            <w:vAlign w:val="center"/>
          </w:tcPr>
          <w:p w14:paraId="34259590">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1.年龄35周岁以下；</w:t>
            </w:r>
          </w:p>
          <w:p w14:paraId="3F9A340D">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2.具有会计、审计等中级及以上专业职称；</w:t>
            </w:r>
          </w:p>
          <w:p w14:paraId="6B3EDB07">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3.具有3年及以上财会相关工作经验。</w:t>
            </w:r>
          </w:p>
          <w:p w14:paraId="4E7A12A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p>
        </w:tc>
      </w:tr>
      <w:tr w14:paraId="23C562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jc w:val="center"/>
        </w:trPr>
        <w:tc>
          <w:tcPr>
            <w:tcW w:w="165" w:type="pct"/>
            <w:noWrap w:val="0"/>
            <w:vAlign w:val="center"/>
          </w:tcPr>
          <w:p w14:paraId="3A8EA8ED">
            <w:pPr>
              <w:keepNext w:val="0"/>
              <w:keepLines w:val="0"/>
              <w:pageBreakBefore w:val="0"/>
              <w:kinsoku/>
              <w:wordWrap/>
              <w:overflowPunct/>
              <w:topLinePunct/>
              <w:bidi w:val="0"/>
              <w:spacing w:before="75" w:line="183" w:lineRule="auto"/>
              <w:ind w:firstLine="200" w:firstLineChars="100"/>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w:t>
            </w:r>
          </w:p>
        </w:tc>
        <w:tc>
          <w:tcPr>
            <w:tcW w:w="344" w:type="pct"/>
            <w:noWrap w:val="0"/>
            <w:vAlign w:val="center"/>
          </w:tcPr>
          <w:p w14:paraId="47A1EA8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江西省创业投资管理有限公司</w:t>
            </w:r>
          </w:p>
        </w:tc>
        <w:tc>
          <w:tcPr>
            <w:tcW w:w="272" w:type="pct"/>
            <w:noWrap w:val="0"/>
            <w:vAlign w:val="center"/>
          </w:tcPr>
          <w:p w14:paraId="1D10AD9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集团财务共享中心</w:t>
            </w:r>
          </w:p>
        </w:tc>
        <w:tc>
          <w:tcPr>
            <w:tcW w:w="331" w:type="pct"/>
            <w:noWrap w:val="0"/>
            <w:vAlign w:val="center"/>
          </w:tcPr>
          <w:p w14:paraId="0C28BF9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共享运营岗</w:t>
            </w:r>
          </w:p>
        </w:tc>
        <w:tc>
          <w:tcPr>
            <w:tcW w:w="211" w:type="pct"/>
            <w:noWrap w:val="0"/>
            <w:vAlign w:val="center"/>
          </w:tcPr>
          <w:p w14:paraId="2F327D85">
            <w:pPr>
              <w:keepNext w:val="0"/>
              <w:keepLines w:val="0"/>
              <w:pageBreakBefore w:val="0"/>
              <w:kinsoku/>
              <w:wordWrap/>
              <w:overflowPunct/>
              <w:topLinePunct/>
              <w:bidi w:val="0"/>
              <w:spacing w:line="0" w:lineRule="atLeast"/>
              <w:jc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2935CB3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硕士研究生及以上学历，计算机类、数学类相关专业</w:t>
            </w:r>
          </w:p>
        </w:tc>
        <w:tc>
          <w:tcPr>
            <w:tcW w:w="1646" w:type="pct"/>
            <w:tcBorders>
              <w:left w:val="single" w:color="auto" w:sz="4" w:space="0"/>
            </w:tcBorders>
            <w:noWrap w:val="0"/>
            <w:vAlign w:val="center"/>
          </w:tcPr>
          <w:p w14:paraId="3C0EA00A">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1.负责财务共享中心（司库中心）系统管理体系建设，包括系统建设、维护与持续优化；</w:t>
            </w:r>
          </w:p>
          <w:p w14:paraId="028A12F8">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2.负责财务共享平台的各项后台操作，如报账单的调整、基础数据导入、审批流设置、报账平台更新维护等;提供共享相关系统上线培训与使用答疑及共享中心内部软硬件设备的维护和技术支持；</w:t>
            </w:r>
          </w:p>
          <w:p w14:paraId="27E56F9B">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3.负责公司共享平台、核算、报表、分析、商旅等财务系统建设及财务数字化创新；</w:t>
            </w:r>
          </w:p>
          <w:p w14:paraId="14F47857">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4.负责公司会计标准化建设，包括会计科目、辅助核算、产品等标准化财务数据管理；推动业务标准化建设，包括业务数据管理、业务内控规范、业财对接标准等数据分析模型及可视化展示标准化建设；</w:t>
            </w:r>
          </w:p>
          <w:p w14:paraId="1FF8DF8B">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负责财务共享中心（司库中心）服务管理体系和质量管理体系的建设及实施；负责与纳入业务单位服务水平协议拟定和执行；负责定期对纳入共享范围业务单位的回访、意见收集；负责定期或不定期对日常会计核算、资金结算、档案管理等工作进行质量稽核；</w:t>
            </w:r>
          </w:p>
          <w:p w14:paraId="1122B21A">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6.负责财务共享中心（司库中心）内部员工系统软件的日常维护与使用答疑，不定期组织财务共享相关系统的使用培训；</w:t>
            </w:r>
          </w:p>
          <w:p w14:paraId="22250214">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7.负责财务共享中心（司库中心）综合行政管理规范，包括公文、办公用品、安全管理等，为共享中心的日常工作开展提供综合保障工作；</w:t>
            </w:r>
          </w:p>
          <w:p w14:paraId="157FBC79">
            <w:pPr>
              <w:keepNext w:val="0"/>
              <w:keepLines w:val="0"/>
              <w:pageBreakBefore w:val="0"/>
              <w:kinsoku/>
              <w:wordWrap/>
              <w:overflowPunct/>
              <w:topLinePunct/>
              <w:bidi w:val="0"/>
              <w:spacing w:line="0" w:lineRule="atLeast"/>
              <w:jc w:val="both"/>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8.及时完成与岗位相关的其他工作及公司领导交办的其他工作。</w:t>
            </w:r>
          </w:p>
        </w:tc>
        <w:tc>
          <w:tcPr>
            <w:tcW w:w="1528" w:type="pct"/>
            <w:noWrap w:val="0"/>
            <w:vAlign w:val="center"/>
          </w:tcPr>
          <w:p w14:paraId="72743F06">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1.年龄30周岁以下，该岗位面向2025年应届毕业生及毕业时间在2年择业期内的高校毕业生；</w:t>
            </w:r>
          </w:p>
          <w:p w14:paraId="055C771C">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2.熟悉编程语言，如Python、Java等，能够进行简单的脚本编写、数据处理和自动化任务开发；</w:t>
            </w:r>
          </w:p>
          <w:p w14:paraId="7AF0EEB4">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3.熟悉数据库管理，如SQL Server、Oracle、MySQL等；</w:t>
            </w:r>
          </w:p>
          <w:p w14:paraId="79B8CCCF">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4.熟悉主流信息系统架构；</w:t>
            </w:r>
          </w:p>
          <w:p w14:paraId="684C2B0B">
            <w:pPr>
              <w:keepNext w:val="0"/>
              <w:keepLines w:val="0"/>
              <w:pageBreakBefore w:val="0"/>
              <w:kinsoku/>
              <w:wordWrap/>
              <w:overflowPunct/>
              <w:topLinePunct/>
              <w:bidi w:val="0"/>
              <w:jc w:val="left"/>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5.具有较好的沟通能力和学习能力，思路清晰、善于思考。</w:t>
            </w:r>
          </w:p>
          <w:p w14:paraId="4D4375E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p>
        </w:tc>
      </w:tr>
      <w:tr w14:paraId="53E39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jc w:val="center"/>
        </w:trPr>
        <w:tc>
          <w:tcPr>
            <w:tcW w:w="165" w:type="pct"/>
            <w:noWrap w:val="0"/>
            <w:vAlign w:val="center"/>
          </w:tcPr>
          <w:p w14:paraId="043FBE05">
            <w:pPr>
              <w:keepNext w:val="0"/>
              <w:keepLines w:val="0"/>
              <w:pageBreakBefore w:val="0"/>
              <w:kinsoku/>
              <w:wordWrap/>
              <w:overflowPunct/>
              <w:topLinePunct/>
              <w:bidi w:val="0"/>
              <w:spacing w:before="75" w:line="183" w:lineRule="auto"/>
              <w:ind w:firstLine="200" w:firstLineChars="100"/>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w:t>
            </w:r>
          </w:p>
        </w:tc>
        <w:tc>
          <w:tcPr>
            <w:tcW w:w="344" w:type="pct"/>
            <w:noWrap w:val="0"/>
            <w:vAlign w:val="center"/>
          </w:tcPr>
          <w:p w14:paraId="25AC9D9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江西省创业投资管理有限公司</w:t>
            </w:r>
          </w:p>
        </w:tc>
        <w:tc>
          <w:tcPr>
            <w:tcW w:w="272" w:type="pct"/>
            <w:noWrap w:val="0"/>
            <w:vAlign w:val="center"/>
          </w:tcPr>
          <w:p w14:paraId="60ADBE3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集团财务共享中心</w:t>
            </w:r>
          </w:p>
        </w:tc>
        <w:tc>
          <w:tcPr>
            <w:tcW w:w="331" w:type="pct"/>
            <w:noWrap w:val="0"/>
            <w:vAlign w:val="center"/>
          </w:tcPr>
          <w:p w14:paraId="67B897D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资金结算岗</w:t>
            </w:r>
          </w:p>
        </w:tc>
        <w:tc>
          <w:tcPr>
            <w:tcW w:w="211" w:type="pct"/>
            <w:noWrap w:val="0"/>
            <w:vAlign w:val="center"/>
          </w:tcPr>
          <w:p w14:paraId="2DA240E2">
            <w:pPr>
              <w:keepNext w:val="0"/>
              <w:keepLines w:val="0"/>
              <w:pageBreakBefore w:val="0"/>
              <w:kinsoku/>
              <w:wordWrap/>
              <w:overflowPunct/>
              <w:topLinePunct/>
              <w:bidi w:val="0"/>
              <w:spacing w:line="0" w:lineRule="atLeast"/>
              <w:jc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5590E64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硕士研究生及以上学历，会计与审计类相关专业</w:t>
            </w:r>
          </w:p>
        </w:tc>
        <w:tc>
          <w:tcPr>
            <w:tcW w:w="1646" w:type="pct"/>
            <w:tcBorders>
              <w:left w:val="single" w:color="auto" w:sz="4" w:space="0"/>
            </w:tcBorders>
            <w:noWrap w:val="0"/>
            <w:vAlign w:val="center"/>
          </w:tcPr>
          <w:p w14:paraId="7AE73A8D">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1.负责资金结算体系的建立及具体实施，包括各项资金收支管理制度的落地实施和资金结算操作手册的编写、更新、培训及宣贯；</w:t>
            </w:r>
          </w:p>
          <w:p w14:paraId="13EB68CD">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2.对公司银行账户整体资金存量的监控，确保资金安全及有效利用；负责制单U盾和支付密码器的保管；负责公司账户信息管理及维护；</w:t>
            </w:r>
          </w:p>
          <w:p w14:paraId="5FCD419A">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负责银企直连付款、网银付款、电票开票或背书等的操作；负责资金支付交叉复核，根据单据信息进行支付信息的核查及指令处理操作；负责付款失败业务的查询、跟进及处理，以及银行账户状态异常事项的沟通协调；紧急支付事项的协调沟通；</w:t>
            </w:r>
          </w:p>
          <w:p w14:paraId="50D5783F">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负责各账户月末对账并编制银行存款余额调节表和未达账项原因查账；负责与各单位财务完成收款确认；负责资金系统的结账工作，配合共享中心质量稽核和公司财务各类检查和内外部审计工作，进行相关账务处理的解释；及时总结与反馈工作中发现的问题，反馈相关信息系统改进或流程优化需求；</w:t>
            </w:r>
          </w:p>
          <w:p w14:paraId="4B199B83">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5.负责涉税调整事项的审核、核算及进项发票认证；负责发票查重验真及发票合规性审核；</w:t>
            </w:r>
          </w:p>
          <w:p w14:paraId="6B7DEBFF">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6.配合业务单位接受税务检查、税务审计、汇算清缴等事项，提供相关税务核算数据及信息；</w:t>
            </w:r>
          </w:p>
          <w:p w14:paraId="3093087A">
            <w:pPr>
              <w:keepNext w:val="0"/>
              <w:keepLines w:val="0"/>
              <w:pageBreakBefore w:val="0"/>
              <w:kinsoku/>
              <w:wordWrap/>
              <w:overflowPunct/>
              <w:topLinePunct/>
              <w:bidi w:val="0"/>
              <w:spacing w:line="0" w:lineRule="atLeast"/>
              <w:jc w:val="both"/>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7.及时完成其他与资金、出纳相关的工作及公司领导交办的其他工作。</w:t>
            </w:r>
          </w:p>
        </w:tc>
        <w:tc>
          <w:tcPr>
            <w:tcW w:w="1528" w:type="pct"/>
            <w:noWrap w:val="0"/>
            <w:vAlign w:val="center"/>
          </w:tcPr>
          <w:p w14:paraId="38432DFC">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1.年龄35周岁以下；</w:t>
            </w:r>
          </w:p>
          <w:p w14:paraId="7FD4FBFA">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2.具有会计、审计等中级及以上专业职称；</w:t>
            </w:r>
          </w:p>
          <w:p w14:paraId="2E06BFAD">
            <w:pPr>
              <w:keepNext w:val="0"/>
              <w:keepLines w:val="0"/>
              <w:pageBreakBefore w:val="0"/>
              <w:kinsoku/>
              <w:wordWrap/>
              <w:overflowPunct/>
              <w:topLinePunct/>
              <w:bidi w:val="0"/>
              <w:jc w:val="left"/>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3.具有3年及以上财会相关工作经验。</w:t>
            </w:r>
          </w:p>
          <w:p w14:paraId="72DBF1A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p>
        </w:tc>
      </w:tr>
      <w:tr w14:paraId="6F24B9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jc w:val="center"/>
        </w:trPr>
        <w:tc>
          <w:tcPr>
            <w:tcW w:w="165" w:type="pct"/>
            <w:noWrap w:val="0"/>
            <w:vAlign w:val="center"/>
          </w:tcPr>
          <w:p w14:paraId="3D3136D0">
            <w:pPr>
              <w:keepNext w:val="0"/>
              <w:keepLines w:val="0"/>
              <w:pageBreakBefore w:val="0"/>
              <w:kinsoku/>
              <w:wordWrap/>
              <w:overflowPunct/>
              <w:topLinePunct/>
              <w:bidi w:val="0"/>
              <w:spacing w:before="75" w:line="183" w:lineRule="auto"/>
              <w:ind w:firstLine="200" w:firstLineChars="100"/>
              <w:jc w:val="both"/>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10</w:t>
            </w:r>
          </w:p>
        </w:tc>
        <w:tc>
          <w:tcPr>
            <w:tcW w:w="344" w:type="pct"/>
            <w:noWrap w:val="0"/>
            <w:vAlign w:val="center"/>
          </w:tcPr>
          <w:p w14:paraId="5F11153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江西省创业投资管理有限公司</w:t>
            </w:r>
          </w:p>
        </w:tc>
        <w:tc>
          <w:tcPr>
            <w:tcW w:w="272" w:type="pct"/>
            <w:noWrap w:val="0"/>
            <w:vAlign w:val="center"/>
          </w:tcPr>
          <w:p w14:paraId="36142A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集团财务共享中心</w:t>
            </w:r>
          </w:p>
        </w:tc>
        <w:tc>
          <w:tcPr>
            <w:tcW w:w="331" w:type="pct"/>
            <w:noWrap w:val="0"/>
            <w:vAlign w:val="center"/>
          </w:tcPr>
          <w:p w14:paraId="49B6FD6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会计核算岗</w:t>
            </w:r>
          </w:p>
        </w:tc>
        <w:tc>
          <w:tcPr>
            <w:tcW w:w="211" w:type="pct"/>
            <w:noWrap w:val="0"/>
            <w:vAlign w:val="center"/>
          </w:tcPr>
          <w:p w14:paraId="4673FDC7">
            <w:pPr>
              <w:keepNext w:val="0"/>
              <w:keepLines w:val="0"/>
              <w:pageBreakBefore w:val="0"/>
              <w:kinsoku/>
              <w:wordWrap/>
              <w:overflowPunct/>
              <w:topLinePunct/>
              <w:bidi w:val="0"/>
              <w:spacing w:line="0" w:lineRule="atLeast"/>
              <w:jc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38D8926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硕士研究生及以上学历，会计与审计类相关专业</w:t>
            </w:r>
          </w:p>
        </w:tc>
        <w:tc>
          <w:tcPr>
            <w:tcW w:w="1646" w:type="pct"/>
            <w:tcBorders>
              <w:left w:val="single" w:color="auto" w:sz="4" w:space="0"/>
            </w:tcBorders>
            <w:noWrap w:val="0"/>
            <w:vAlign w:val="center"/>
          </w:tcPr>
          <w:p w14:paraId="6F3C1BEB">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1.执行公司各项会计核算政策，依据审核细则、核算规范，对薪酬核算、税金核算、营业外收支核算、费用摊销及预提、成本核算类等业务进行审核入账处理，根据需要发起部分总账类(如调整类)的报账提单；</w:t>
            </w:r>
          </w:p>
          <w:p w14:paraId="4719C779">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2.对各自负责的核算主体账套进行关账检查及月结，对于存在问题的报账单据，负责与业务经办人进行沟通核实；负责与业务财务日常接口工作，沟通、协调业务财务提出的相关事宜；</w:t>
            </w:r>
          </w:p>
          <w:p w14:paraId="10B446DC">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3.负责各自负责的核算主体进行单体财务报表编制，并与业务单位进行沟通确认；</w:t>
            </w:r>
          </w:p>
          <w:p w14:paraId="496D1B45">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4.负责总账类业务相关审核细则、核算规范的编写、更新、培训及宣贯；反馈相关信息系统改进或流程优化的需求；负责配合业务单位与员工、供应商及客户的对账工作，包括账务核实与解释；</w:t>
            </w:r>
          </w:p>
          <w:p w14:paraId="784273DC">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5.构建财务数据中台，精细化运营数据资产；</w:t>
            </w:r>
          </w:p>
          <w:p w14:paraId="24C4920B">
            <w:pPr>
              <w:keepNext w:val="0"/>
              <w:keepLines w:val="0"/>
              <w:pageBreakBefore w:val="0"/>
              <w:kinsoku/>
              <w:wordWrap/>
              <w:overflowPunct/>
              <w:topLinePunct/>
              <w:bidi w:val="0"/>
              <w:spacing w:line="0" w:lineRule="atLeast"/>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6.搭建管报体系，高质量管理输出个性化管理报表或报告定制出具；</w:t>
            </w:r>
          </w:p>
          <w:p w14:paraId="0E60B834">
            <w:pPr>
              <w:keepNext w:val="0"/>
              <w:keepLines w:val="0"/>
              <w:pageBreakBefore w:val="0"/>
              <w:kinsoku/>
              <w:wordWrap/>
              <w:overflowPunct/>
              <w:topLinePunct/>
              <w:bidi w:val="0"/>
              <w:spacing w:line="0" w:lineRule="atLeast"/>
              <w:jc w:val="both"/>
              <w:rPr>
                <w:rFonts w:hint="eastAsia" w:ascii="仿宋_GB2312" w:hAnsi="仿宋_GB2312" w:eastAsia="仿宋_GB2312" w:cs="仿宋_GB2312"/>
                <w:i w:val="0"/>
                <w:iCs w:val="0"/>
                <w:snapToGrid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7.及时完成与岗位相关的其他工作及公司领导交办的其他工作。</w:t>
            </w:r>
          </w:p>
        </w:tc>
        <w:tc>
          <w:tcPr>
            <w:tcW w:w="1528" w:type="pct"/>
            <w:noWrap w:val="0"/>
            <w:vAlign w:val="center"/>
          </w:tcPr>
          <w:p w14:paraId="6B74D16C">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1.年龄35周岁以下；</w:t>
            </w:r>
          </w:p>
          <w:p w14:paraId="286C1FA2">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2.具有会计、审计等中级及以上专业职称；</w:t>
            </w:r>
          </w:p>
          <w:p w14:paraId="782C0482">
            <w:pPr>
              <w:keepNext w:val="0"/>
              <w:keepLines w:val="0"/>
              <w:pageBreakBefore w:val="0"/>
              <w:kinsoku/>
              <w:wordWrap/>
              <w:overflowPunct/>
              <w:topLinePunct/>
              <w:bidi w:val="0"/>
              <w:jc w:val="left"/>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3.具有3年及以上财会相关工作经验。</w:t>
            </w:r>
          </w:p>
          <w:p w14:paraId="7E916DC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仿宋_GB2312" w:hAnsi="仿宋_GB2312" w:eastAsia="仿宋_GB2312" w:cs="仿宋_GB2312"/>
                <w:i w:val="0"/>
                <w:iCs w:val="0"/>
                <w:snapToGrid w:val="0"/>
                <w:color w:val="000000"/>
                <w:kern w:val="0"/>
                <w:sz w:val="20"/>
                <w:szCs w:val="20"/>
                <w:u w:val="none"/>
                <w:lang w:val="en-US" w:eastAsia="zh-CN" w:bidi="ar"/>
              </w:rPr>
            </w:pPr>
          </w:p>
        </w:tc>
      </w:tr>
      <w:tr w14:paraId="4592B9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3" w:hRule="atLeast"/>
          <w:jc w:val="center"/>
        </w:trPr>
        <w:tc>
          <w:tcPr>
            <w:tcW w:w="165" w:type="pct"/>
            <w:noWrap w:val="0"/>
            <w:vAlign w:val="center"/>
          </w:tcPr>
          <w:p w14:paraId="6759DB44">
            <w:pPr>
              <w:keepNext w:val="0"/>
              <w:keepLines w:val="0"/>
              <w:pageBreakBefore w:val="0"/>
              <w:kinsoku/>
              <w:wordWrap/>
              <w:overflowPunct/>
              <w:topLinePunct/>
              <w:bidi w:val="0"/>
              <w:spacing w:before="75" w:line="184" w:lineRule="auto"/>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11</w:t>
            </w:r>
          </w:p>
        </w:tc>
        <w:tc>
          <w:tcPr>
            <w:tcW w:w="344" w:type="pct"/>
            <w:noWrap w:val="0"/>
            <w:vAlign w:val="center"/>
          </w:tcPr>
          <w:p w14:paraId="3F3ED917">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江西健康云数字科技有限公司</w:t>
            </w:r>
          </w:p>
        </w:tc>
        <w:tc>
          <w:tcPr>
            <w:tcW w:w="272" w:type="pct"/>
            <w:noWrap w:val="0"/>
            <w:vAlign w:val="center"/>
          </w:tcPr>
          <w:p w14:paraId="602773DB">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解决方案部</w:t>
            </w:r>
          </w:p>
        </w:tc>
        <w:tc>
          <w:tcPr>
            <w:tcW w:w="331" w:type="pct"/>
            <w:noWrap w:val="0"/>
            <w:vAlign w:val="center"/>
          </w:tcPr>
          <w:p w14:paraId="267B0BBC">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产品经理岗</w:t>
            </w:r>
          </w:p>
        </w:tc>
        <w:tc>
          <w:tcPr>
            <w:tcW w:w="211" w:type="pct"/>
            <w:noWrap w:val="0"/>
            <w:vAlign w:val="center"/>
          </w:tcPr>
          <w:p w14:paraId="5D1E5B66">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17DA4C00">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本科及以上学历，计算机、软件、医疗及相关专业</w:t>
            </w:r>
          </w:p>
        </w:tc>
        <w:tc>
          <w:tcPr>
            <w:tcW w:w="1646" w:type="pct"/>
            <w:tcBorders>
              <w:left w:val="single" w:color="auto" w:sz="4" w:space="0"/>
            </w:tcBorders>
            <w:noWrap w:val="0"/>
            <w:vAlign w:val="center"/>
          </w:tcPr>
          <w:p w14:paraId="6CC65D4F">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1.根据市场需求和公司战略，制定产品规划，明确产品定位、功能特性和目标用户；</w:t>
            </w:r>
          </w:p>
          <w:p w14:paraId="7AD3C330">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2.参与产品原型设计，与开发团队紧密合作，确保产品功能的实现符合设计要求；</w:t>
            </w:r>
          </w:p>
          <w:p w14:paraId="7235C51B">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3.负责产品的研发项目，包括项目计划制定、进度跟踪、风险管理等；</w:t>
            </w:r>
          </w:p>
          <w:p w14:paraId="12EFCE8D">
            <w:pPr>
              <w:keepNext w:val="0"/>
              <w:keepLines w:val="0"/>
              <w:pageBreakBefore w:val="0"/>
              <w:kinsoku/>
              <w:wordWrap/>
              <w:overflowPunct/>
              <w:topLinePunct/>
              <w:bidi w:val="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4.确保项目按时、按质、按量完成，确保产品的顺利上线。</w:t>
            </w:r>
          </w:p>
        </w:tc>
        <w:tc>
          <w:tcPr>
            <w:tcW w:w="1528" w:type="pct"/>
            <w:noWrap w:val="0"/>
            <w:vAlign w:val="center"/>
          </w:tcPr>
          <w:p w14:paraId="794F8114">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1.年龄35周岁以下，具备3年以上数字健康、医疗信息化、互联网产品等相关领域的工作经验；</w:t>
            </w:r>
          </w:p>
          <w:p w14:paraId="200B76A8">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2.有成功主导或参与过数字健康产品从规划到上线的全流程经验者优先；</w:t>
            </w:r>
          </w:p>
          <w:p w14:paraId="74B1FDED">
            <w:pPr>
              <w:keepNext w:val="0"/>
              <w:keepLines w:val="0"/>
              <w:pageBreakBefore w:val="0"/>
              <w:kinsoku/>
              <w:wordWrap/>
              <w:overflowPunct/>
              <w:topLinePunct/>
              <w:bidi w:val="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3.熟练掌握产品管理工具，如Axure、Visio等，能够独立完成产品原型设计。</w:t>
            </w:r>
          </w:p>
          <w:p w14:paraId="1B0598A8">
            <w:pPr>
              <w:spacing w:line="0" w:lineRule="atLeast"/>
              <w:ind w:firstLine="600" w:firstLineChars="300"/>
              <w:rPr>
                <w:rFonts w:hint="eastAsia" w:ascii="仿宋_GB2312" w:hAnsi="仿宋_GB2312" w:eastAsia="仿宋_GB2312" w:cs="仿宋_GB2312"/>
                <w:sz w:val="20"/>
                <w:szCs w:val="20"/>
              </w:rPr>
            </w:pPr>
          </w:p>
        </w:tc>
      </w:tr>
      <w:tr w14:paraId="6408D2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7" w:hRule="atLeast"/>
          <w:jc w:val="center"/>
        </w:trPr>
        <w:tc>
          <w:tcPr>
            <w:tcW w:w="165" w:type="pct"/>
            <w:noWrap w:val="0"/>
            <w:vAlign w:val="center"/>
          </w:tcPr>
          <w:p w14:paraId="37E27C1D">
            <w:pPr>
              <w:keepNext w:val="0"/>
              <w:keepLines w:val="0"/>
              <w:pageBreakBefore w:val="0"/>
              <w:kinsoku/>
              <w:wordWrap/>
              <w:overflowPunct/>
              <w:topLinePunct/>
              <w:bidi w:val="0"/>
              <w:spacing w:before="75" w:line="183" w:lineRule="auto"/>
              <w:jc w:val="center"/>
              <w:rPr>
                <w:rFonts w:hint="eastAsia" w:ascii="仿宋_GB2312" w:hAnsi="仿宋_GB2312" w:eastAsia="仿宋_GB2312" w:cs="仿宋_GB2312"/>
                <w:sz w:val="20"/>
                <w:szCs w:val="20"/>
                <w:lang w:val="en-US"/>
              </w:rPr>
            </w:pPr>
            <w:r>
              <w:rPr>
                <w:rFonts w:hint="eastAsia" w:ascii="仿宋_GB2312" w:hAnsi="仿宋_GB2312" w:eastAsia="仿宋_GB2312" w:cs="仿宋_GB2312"/>
                <w:sz w:val="20"/>
                <w:szCs w:val="20"/>
                <w:lang w:val="en-US" w:eastAsia="zh-CN"/>
              </w:rPr>
              <w:t>12</w:t>
            </w:r>
          </w:p>
        </w:tc>
        <w:tc>
          <w:tcPr>
            <w:tcW w:w="344" w:type="pct"/>
            <w:noWrap w:val="0"/>
            <w:vAlign w:val="center"/>
          </w:tcPr>
          <w:p w14:paraId="26B17F94">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江西健康云数字科技有限公司</w:t>
            </w:r>
          </w:p>
        </w:tc>
        <w:tc>
          <w:tcPr>
            <w:tcW w:w="272" w:type="pct"/>
            <w:noWrap w:val="0"/>
            <w:vAlign w:val="center"/>
          </w:tcPr>
          <w:p w14:paraId="67826EEE">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研发交付部</w:t>
            </w:r>
          </w:p>
        </w:tc>
        <w:tc>
          <w:tcPr>
            <w:tcW w:w="331" w:type="pct"/>
            <w:noWrap w:val="0"/>
            <w:vAlign w:val="center"/>
          </w:tcPr>
          <w:p w14:paraId="6CFDC918">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交付工程师岗</w:t>
            </w:r>
          </w:p>
        </w:tc>
        <w:tc>
          <w:tcPr>
            <w:tcW w:w="211" w:type="pct"/>
            <w:noWrap w:val="0"/>
            <w:vAlign w:val="center"/>
          </w:tcPr>
          <w:p w14:paraId="6DCFCD7F">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52B044B4">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本科及以上学历，计算机、软件、医疗及相关专业</w:t>
            </w:r>
          </w:p>
        </w:tc>
        <w:tc>
          <w:tcPr>
            <w:tcW w:w="1646" w:type="pct"/>
            <w:tcBorders>
              <w:left w:val="single" w:color="auto" w:sz="4" w:space="0"/>
            </w:tcBorders>
            <w:noWrap w:val="0"/>
            <w:vAlign w:val="center"/>
          </w:tcPr>
          <w:p w14:paraId="1CB48BF1">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1.负责数字健康项目的整体规划、实施和交付，确保项目按时、按质、按量完成。</w:t>
            </w:r>
          </w:p>
          <w:p w14:paraId="5C07503B">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2.制定项目计划，明确项目目标、任务分配、时间表和预算，并跟踪项目进展。</w:t>
            </w:r>
          </w:p>
          <w:p w14:paraId="662A8876">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3.与产品经理、研发团队、测试团队、客户等各方进行有效沟通，确保项目需求明确、信息传递准确。</w:t>
            </w:r>
          </w:p>
          <w:p w14:paraId="4ED63F99">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4.协调内部资源，解决项目过程中遇到的问题，确保项目顺利进行。</w:t>
            </w:r>
          </w:p>
        </w:tc>
        <w:tc>
          <w:tcPr>
            <w:tcW w:w="1528" w:type="pct"/>
            <w:noWrap w:val="0"/>
            <w:vAlign w:val="center"/>
          </w:tcPr>
          <w:p w14:paraId="1C9290A8">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1.年龄35周岁以下，具备3年以上相关领域的工作经验，有数字健康、医疗信息化、系统集成等领域的交付、实施或项目管理经验者优先；</w:t>
            </w:r>
          </w:p>
          <w:p w14:paraId="532F7B4C">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2.具备较强的沟通协调能力，能够与客户、研发团队、测试团队等各方进行有效沟通，解决项目过程中遇到的问题；</w:t>
            </w:r>
          </w:p>
          <w:p w14:paraId="1AF48663">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3.持有相关领域的专业认证证书者优先考虑，如PMP（项目管理专业人士资格认证）、信息系统项目管理师等。</w:t>
            </w:r>
          </w:p>
        </w:tc>
      </w:tr>
      <w:tr w14:paraId="032C31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5" w:hRule="atLeast"/>
          <w:jc w:val="center"/>
        </w:trPr>
        <w:tc>
          <w:tcPr>
            <w:tcW w:w="165" w:type="pct"/>
            <w:noWrap w:val="0"/>
            <w:vAlign w:val="center"/>
          </w:tcPr>
          <w:p w14:paraId="50544632">
            <w:pPr>
              <w:keepNext w:val="0"/>
              <w:keepLines w:val="0"/>
              <w:pageBreakBefore w:val="0"/>
              <w:kinsoku/>
              <w:wordWrap/>
              <w:overflowPunct/>
              <w:topLinePunct/>
              <w:bidi w:val="0"/>
              <w:spacing w:before="75" w:line="184" w:lineRule="auto"/>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w:t>
            </w:r>
          </w:p>
        </w:tc>
        <w:tc>
          <w:tcPr>
            <w:tcW w:w="344" w:type="pct"/>
            <w:noWrap w:val="0"/>
            <w:vAlign w:val="center"/>
          </w:tcPr>
          <w:p w14:paraId="28DEE469">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江西健康云数字科技有限公司</w:t>
            </w:r>
          </w:p>
        </w:tc>
        <w:tc>
          <w:tcPr>
            <w:tcW w:w="272" w:type="pct"/>
            <w:noWrap w:val="0"/>
            <w:vAlign w:val="center"/>
          </w:tcPr>
          <w:p w14:paraId="51CB39CA">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rPr>
            </w:pPr>
          </w:p>
          <w:p w14:paraId="6D2D275E">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研发交付部</w:t>
            </w:r>
          </w:p>
        </w:tc>
        <w:tc>
          <w:tcPr>
            <w:tcW w:w="331" w:type="pct"/>
            <w:noWrap w:val="0"/>
            <w:vAlign w:val="center"/>
          </w:tcPr>
          <w:p w14:paraId="514ED7CC">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前端工程师岗</w:t>
            </w:r>
          </w:p>
        </w:tc>
        <w:tc>
          <w:tcPr>
            <w:tcW w:w="211" w:type="pct"/>
            <w:noWrap w:val="0"/>
            <w:vAlign w:val="center"/>
          </w:tcPr>
          <w:p w14:paraId="6A18446A">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5D0FECF9">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本科及以上学历，计算机、软件、医疗及相关专业</w:t>
            </w:r>
          </w:p>
        </w:tc>
        <w:tc>
          <w:tcPr>
            <w:tcW w:w="1646" w:type="pct"/>
            <w:tcBorders>
              <w:left w:val="single" w:color="auto" w:sz="4" w:space="0"/>
            </w:tcBorders>
            <w:noWrap w:val="0"/>
            <w:vAlign w:val="center"/>
          </w:tcPr>
          <w:p w14:paraId="27C8468A">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1.参与产品组件的需求分析与设计；</w:t>
            </w:r>
          </w:p>
          <w:p w14:paraId="02815350">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2.负责前端产品的页面和功能设计；</w:t>
            </w:r>
          </w:p>
          <w:p w14:paraId="39DDC0B0">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3.参与后端接口设计，从前端视角提出合理性建议，保障前后端接口的高效对接，优化数据交互流程；</w:t>
            </w:r>
          </w:p>
          <w:p w14:paraId="7BDFE68D">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4.负责前端页面代码编写，熟练运用 HTML、CSS、JavaScript 等开发语言，为用户打造优质的视觉体验和交互界面。</w:t>
            </w:r>
          </w:p>
        </w:tc>
        <w:tc>
          <w:tcPr>
            <w:tcW w:w="1528" w:type="pct"/>
            <w:noWrap w:val="0"/>
            <w:vAlign w:val="center"/>
          </w:tcPr>
          <w:p w14:paraId="22BD3E19">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1.年龄35周岁以下，具备3年以上数字行业前端工程师有关工作经验；</w:t>
            </w:r>
          </w:p>
          <w:p w14:paraId="706CAC24">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2.熟练掌握 HTML5、CSS3、JavaScript 等前端开发技术，具备丰富的实际项目经验；熟悉至少一种主流前端框架（Vue、React 或 Angular），能够独立完成复杂页面的开发和功能实现；</w:t>
            </w:r>
          </w:p>
          <w:p w14:paraId="6D61A2F3">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3.对用户体验和交互设计有深入理解，能够根据设计稿进行高质量的前端实现，注重细节，追求完美的视觉效果和用户体验。</w:t>
            </w:r>
          </w:p>
        </w:tc>
      </w:tr>
      <w:tr w14:paraId="29038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8" w:hRule="atLeast"/>
          <w:jc w:val="center"/>
        </w:trPr>
        <w:tc>
          <w:tcPr>
            <w:tcW w:w="165" w:type="pct"/>
            <w:noWrap w:val="0"/>
            <w:vAlign w:val="center"/>
          </w:tcPr>
          <w:p w14:paraId="57F86673">
            <w:pPr>
              <w:keepNext w:val="0"/>
              <w:keepLines w:val="0"/>
              <w:pageBreakBefore w:val="0"/>
              <w:kinsoku/>
              <w:wordWrap/>
              <w:overflowPunct/>
              <w:topLinePunct/>
              <w:bidi w:val="0"/>
              <w:spacing w:before="75" w:line="183" w:lineRule="auto"/>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14</w:t>
            </w:r>
          </w:p>
        </w:tc>
        <w:tc>
          <w:tcPr>
            <w:tcW w:w="344" w:type="pct"/>
            <w:noWrap w:val="0"/>
            <w:vAlign w:val="center"/>
          </w:tcPr>
          <w:p w14:paraId="32935718">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江西健康云数字科技有限公司</w:t>
            </w:r>
          </w:p>
        </w:tc>
        <w:tc>
          <w:tcPr>
            <w:tcW w:w="272" w:type="pct"/>
            <w:noWrap w:val="0"/>
            <w:vAlign w:val="center"/>
          </w:tcPr>
          <w:p w14:paraId="4A5E1E06">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研发交付部</w:t>
            </w:r>
          </w:p>
        </w:tc>
        <w:tc>
          <w:tcPr>
            <w:tcW w:w="331" w:type="pct"/>
            <w:noWrap w:val="0"/>
            <w:vAlign w:val="center"/>
          </w:tcPr>
          <w:p w14:paraId="02A97DCC">
            <w:pPr>
              <w:keepNext w:val="0"/>
              <w:keepLines w:val="0"/>
              <w:pageBreakBefore w:val="0"/>
              <w:kinsoku/>
              <w:wordWrap/>
              <w:overflowPunct/>
              <w:topLinePunct/>
              <w:bidi w:val="0"/>
              <w:spacing w:line="0" w:lineRule="atLeast"/>
              <w:jc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后端工程师岗</w:t>
            </w:r>
          </w:p>
        </w:tc>
        <w:tc>
          <w:tcPr>
            <w:tcW w:w="211" w:type="pct"/>
            <w:noWrap w:val="0"/>
            <w:vAlign w:val="center"/>
          </w:tcPr>
          <w:p w14:paraId="4CD1486B">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0C4BF7AB">
            <w:pPr>
              <w:keepNext w:val="0"/>
              <w:keepLines w:val="0"/>
              <w:pageBreakBefore w:val="0"/>
              <w:kinsoku/>
              <w:wordWrap/>
              <w:overflowPunct/>
              <w:topLinePunct/>
              <w:bidi w:val="0"/>
              <w:spacing w:line="0" w:lineRule="atLeast"/>
              <w:jc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本科及以上学历，计算机、软件、医疗及相关专业</w:t>
            </w:r>
          </w:p>
        </w:tc>
        <w:tc>
          <w:tcPr>
            <w:tcW w:w="1646" w:type="pct"/>
            <w:tcBorders>
              <w:left w:val="single" w:color="auto" w:sz="4" w:space="0"/>
            </w:tcBorders>
            <w:noWrap w:val="0"/>
            <w:vAlign w:val="center"/>
          </w:tcPr>
          <w:p w14:paraId="2EDCEA82">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1.参与产品组件的需求分析与设计；</w:t>
            </w:r>
          </w:p>
          <w:p w14:paraId="37F1C2FF">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2.负责研发产品的基础构架设计、开发和升级维护；</w:t>
            </w:r>
          </w:p>
          <w:p w14:paraId="47EF507E">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3.根据产品需求完成模块设计编码工作；</w:t>
            </w:r>
          </w:p>
          <w:p w14:paraId="15B7CD8C">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4.能按照项目计划，按时提交高质量的代码，完成开发任务；</w:t>
            </w:r>
          </w:p>
          <w:p w14:paraId="17C28844">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5.负责后台等相关文档的编写工作。</w:t>
            </w:r>
          </w:p>
        </w:tc>
        <w:tc>
          <w:tcPr>
            <w:tcW w:w="1528" w:type="pct"/>
            <w:noWrap w:val="0"/>
            <w:vAlign w:val="center"/>
          </w:tcPr>
          <w:p w14:paraId="17B1B09B">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1.年龄35周岁以下，具备5年以上数字行业后端工程师有关工作经验，有数字健康、医疗信息化、人工智能等领域的研发经验者优先；</w:t>
            </w:r>
          </w:p>
          <w:p w14:paraId="070431FE">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2.熟练掌握至少一种编程语言，如c#、Java、Python等，具备良好的编程能力和代码质量意识；</w:t>
            </w:r>
          </w:p>
          <w:p w14:paraId="70BEF793">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3.熟悉常用数据库mysql，pgsql等，熟练掌握sql语法，熟悉常用的开发工具、测试工具和版本控制工具，如Eclipse、Git等；</w:t>
            </w:r>
          </w:p>
          <w:p w14:paraId="057E0CDC">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4.具备一定的医疗健康知识背景，能够理解并应用医疗健康领域的相关技术和标准。</w:t>
            </w:r>
          </w:p>
        </w:tc>
      </w:tr>
      <w:tr w14:paraId="4A06F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jc w:val="center"/>
        </w:trPr>
        <w:tc>
          <w:tcPr>
            <w:tcW w:w="165" w:type="pct"/>
            <w:noWrap w:val="0"/>
            <w:vAlign w:val="center"/>
          </w:tcPr>
          <w:p w14:paraId="7BE4E399">
            <w:pPr>
              <w:keepNext w:val="0"/>
              <w:keepLines w:val="0"/>
              <w:pageBreakBefore w:val="0"/>
              <w:kinsoku/>
              <w:wordWrap/>
              <w:overflowPunct/>
              <w:topLinePunct/>
              <w:bidi w:val="0"/>
              <w:spacing w:before="75" w:line="183" w:lineRule="auto"/>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kern w:val="2"/>
                <w:sz w:val="20"/>
                <w:szCs w:val="20"/>
                <w:lang w:val="en-US" w:eastAsia="zh-CN" w:bidi="ar-SA"/>
              </w:rPr>
              <w:t>15</w:t>
            </w:r>
          </w:p>
        </w:tc>
        <w:tc>
          <w:tcPr>
            <w:tcW w:w="344" w:type="pct"/>
            <w:noWrap w:val="0"/>
            <w:vAlign w:val="center"/>
          </w:tcPr>
          <w:p w14:paraId="64D22E84">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江西健康云数字科技有限公司</w:t>
            </w:r>
          </w:p>
        </w:tc>
        <w:tc>
          <w:tcPr>
            <w:tcW w:w="272" w:type="pct"/>
            <w:noWrap w:val="0"/>
            <w:vAlign w:val="center"/>
          </w:tcPr>
          <w:p w14:paraId="7D874213">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研发交付部</w:t>
            </w:r>
          </w:p>
        </w:tc>
        <w:tc>
          <w:tcPr>
            <w:tcW w:w="331" w:type="pct"/>
            <w:noWrap w:val="0"/>
            <w:vAlign w:val="center"/>
          </w:tcPr>
          <w:p w14:paraId="3457EA9D">
            <w:pPr>
              <w:keepNext w:val="0"/>
              <w:keepLines w:val="0"/>
              <w:pageBreakBefore w:val="0"/>
              <w:kinsoku/>
              <w:wordWrap/>
              <w:overflowPunct/>
              <w:topLinePunct/>
              <w:bidi w:val="0"/>
              <w:spacing w:line="0" w:lineRule="atLeast"/>
              <w:jc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sz w:val="20"/>
                <w:szCs w:val="20"/>
                <w:lang w:val="en-US" w:eastAsia="zh-CN"/>
              </w:rPr>
              <w:t>算法工程师岗</w:t>
            </w:r>
          </w:p>
        </w:tc>
        <w:tc>
          <w:tcPr>
            <w:tcW w:w="211" w:type="pct"/>
            <w:noWrap w:val="0"/>
            <w:vAlign w:val="center"/>
          </w:tcPr>
          <w:p w14:paraId="463A36B4">
            <w:pPr>
              <w:keepNext w:val="0"/>
              <w:keepLines w:val="0"/>
              <w:pageBreakBefore w:val="0"/>
              <w:kinsoku/>
              <w:wordWrap/>
              <w:overflowPunct/>
              <w:topLinePunct/>
              <w:bidi w:val="0"/>
              <w:spacing w:line="0" w:lineRule="atLeas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500" w:type="pct"/>
            <w:tcBorders>
              <w:left w:val="single" w:color="auto" w:sz="4" w:space="0"/>
            </w:tcBorders>
            <w:noWrap w:val="0"/>
            <w:vAlign w:val="center"/>
          </w:tcPr>
          <w:p w14:paraId="47A8C3A4">
            <w:pPr>
              <w:keepNext w:val="0"/>
              <w:keepLines w:val="0"/>
              <w:pageBreakBefore w:val="0"/>
              <w:kinsoku/>
              <w:wordWrap/>
              <w:overflowPunct/>
              <w:topLinePunct/>
              <w:bidi w:val="0"/>
              <w:spacing w:line="0" w:lineRule="atLeast"/>
              <w:jc w:val="center"/>
              <w:rPr>
                <w:rFonts w:hint="eastAsia" w:ascii="仿宋_GB2312" w:hAnsi="仿宋_GB2312" w:eastAsia="仿宋_GB2312" w:cs="仿宋_GB2312"/>
                <w:i w:val="0"/>
                <w:iCs w:val="0"/>
                <w:color w:val="000000"/>
                <w:kern w:val="0"/>
                <w:sz w:val="20"/>
                <w:szCs w:val="20"/>
                <w:lang w:val="en-US" w:eastAsia="zh-CN" w:bidi="ar"/>
              </w:rPr>
            </w:pPr>
            <w:r>
              <w:rPr>
                <w:rFonts w:hint="eastAsia" w:ascii="仿宋_GB2312" w:hAnsi="仿宋_GB2312" w:eastAsia="仿宋_GB2312" w:cs="仿宋_GB2312"/>
                <w:sz w:val="20"/>
                <w:szCs w:val="20"/>
                <w:lang w:val="en-US" w:eastAsia="zh-CN"/>
              </w:rPr>
              <w:t>本科及以上学历，计算机、软件、医疗及相关专业</w:t>
            </w:r>
          </w:p>
        </w:tc>
        <w:tc>
          <w:tcPr>
            <w:tcW w:w="1646" w:type="pct"/>
            <w:tcBorders>
              <w:left w:val="single" w:color="auto" w:sz="4" w:space="0"/>
            </w:tcBorders>
            <w:noWrap w:val="0"/>
            <w:vAlign w:val="center"/>
          </w:tcPr>
          <w:p w14:paraId="748256E5">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1.处理和分析医疗数据，包括电子病历、医学影像、基因数据等，进行清洗、标注和数据预处理，确保其质量，运用统计和机器学习方法，挖掘数据中的模式和规律；</w:t>
            </w:r>
          </w:p>
          <w:p w14:paraId="0F420F8F">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2.负责互联网医疗应用的策略和推荐算法研发，提升产品效果和用户体验；</w:t>
            </w:r>
          </w:p>
          <w:p w14:paraId="0AF3126F">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3.大语言模型及应用：参与基于领域微调和强化学习的大语言模型训练和优化，探索其在不同应用场景中的潜力，根据业务场景需求设计微调方案、适配算法和调优工程方案；</w:t>
            </w:r>
          </w:p>
          <w:p w14:paraId="6066FECA">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4.数据集研究：探索基于AutoPrompting的语料自动生成和标注技术，并基于生成技术创建高质量的训练数据；</w:t>
            </w:r>
          </w:p>
          <w:p w14:paraId="2D35094A">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 综合应用机器学习、数据挖掘、NLP、图算法、LLM 等技术解决各类医疗场景等算法落地；</w:t>
            </w:r>
          </w:p>
        </w:tc>
        <w:tc>
          <w:tcPr>
            <w:tcW w:w="1528" w:type="pct"/>
            <w:noWrap w:val="0"/>
            <w:vAlign w:val="center"/>
          </w:tcPr>
          <w:p w14:paraId="5E12975B">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1.年龄35周岁以下，具备3年以上数字行业算法工程师相关工作经验，有数字健康、医疗信息化、人工智能等领域的研发经验者优先；</w:t>
            </w:r>
          </w:p>
          <w:p w14:paraId="504FE35F">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en-US"/>
              </w:rPr>
              <w:t>2.熟悉常用</w:t>
            </w:r>
            <w:r>
              <w:rPr>
                <w:rFonts w:hint="eastAsia" w:ascii="仿宋_GB2312" w:hAnsi="仿宋_GB2312" w:eastAsia="仿宋_GB2312" w:cs="仿宋_GB2312"/>
                <w:sz w:val="20"/>
                <w:szCs w:val="20"/>
                <w:lang w:val="en-US" w:eastAsia="zh-CN"/>
              </w:rPr>
              <w:t>AI</w:t>
            </w:r>
            <w:r>
              <w:rPr>
                <w:rFonts w:hint="eastAsia" w:ascii="仿宋_GB2312" w:hAnsi="仿宋_GB2312" w:eastAsia="仿宋_GB2312" w:cs="仿宋_GB2312"/>
                <w:sz w:val="20"/>
                <w:szCs w:val="20"/>
                <w:lang w:val="en-US" w:eastAsia="en-US"/>
              </w:rPr>
              <w:t>算法和框架，如 TensorFlow、PyTorch、Scikit-learn 等，熟练使用 SQL、Pandas、NumPy 等工具进行数据处理和分析</w:t>
            </w:r>
            <w:r>
              <w:rPr>
                <w:rFonts w:hint="eastAsia" w:ascii="仿宋_GB2312" w:hAnsi="仿宋_GB2312" w:eastAsia="仿宋_GB2312" w:cs="仿宋_GB2312"/>
                <w:sz w:val="20"/>
                <w:szCs w:val="20"/>
                <w:lang w:val="en-US" w:eastAsia="zh-CN"/>
              </w:rPr>
              <w:t>；</w:t>
            </w:r>
          </w:p>
          <w:p w14:paraId="31DC25E4">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en-US"/>
              </w:rPr>
              <w:t>3.熟悉医疗数据的特点和常见类型，如电子病历、医学影像、基因数据等，熟悉医疗数据标准和规范，如 HL7、</w:t>
            </w:r>
            <w:r>
              <w:rPr>
                <w:rFonts w:hint="eastAsia" w:ascii="仿宋_GB2312" w:hAnsi="仿宋_GB2312" w:eastAsia="仿宋_GB2312" w:cs="仿宋_GB2312"/>
                <w:sz w:val="20"/>
                <w:szCs w:val="20"/>
                <w:lang w:val="en-US" w:eastAsia="zh-CN"/>
              </w:rPr>
              <w:t>FHIR、</w:t>
            </w:r>
            <w:r>
              <w:rPr>
                <w:rFonts w:hint="eastAsia" w:ascii="仿宋_GB2312" w:hAnsi="仿宋_GB2312" w:eastAsia="仿宋_GB2312" w:cs="仿宋_GB2312"/>
                <w:sz w:val="20"/>
                <w:szCs w:val="20"/>
                <w:lang w:val="en-US" w:eastAsia="en-US"/>
              </w:rPr>
              <w:t>DICOM 等</w:t>
            </w:r>
            <w:r>
              <w:rPr>
                <w:rFonts w:hint="eastAsia" w:ascii="仿宋_GB2312" w:hAnsi="仿宋_GB2312" w:eastAsia="仿宋_GB2312" w:cs="仿宋_GB2312"/>
                <w:sz w:val="20"/>
                <w:szCs w:val="20"/>
                <w:lang w:val="en-US" w:eastAsia="zh-CN"/>
              </w:rPr>
              <w:t>；</w:t>
            </w:r>
          </w:p>
          <w:p w14:paraId="1D138B7C">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en-US"/>
              </w:rPr>
              <w:t>4.熟练掌握至少一种编程语言，如c#、Java、Python等，具备良好的编程能力和代码质量意识</w:t>
            </w:r>
            <w:r>
              <w:rPr>
                <w:rFonts w:hint="eastAsia" w:ascii="仿宋_GB2312" w:hAnsi="仿宋_GB2312" w:eastAsia="仿宋_GB2312" w:cs="仿宋_GB2312"/>
                <w:sz w:val="20"/>
                <w:szCs w:val="20"/>
                <w:lang w:val="en-US" w:eastAsia="zh-CN"/>
              </w:rPr>
              <w:t>；</w:t>
            </w:r>
          </w:p>
          <w:p w14:paraId="41DE55FE">
            <w:pPr>
              <w:keepNext w:val="0"/>
              <w:keepLines w:val="0"/>
              <w:pageBreakBefore w:val="0"/>
              <w:kinsoku/>
              <w:wordWrap/>
              <w:overflowPunct/>
              <w:topLinePunct/>
              <w:bidi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w:t>
            </w:r>
            <w:r>
              <w:rPr>
                <w:rFonts w:hint="eastAsia" w:ascii="仿宋_GB2312" w:hAnsi="仿宋_GB2312" w:eastAsia="仿宋_GB2312" w:cs="仿宋_GB2312"/>
                <w:sz w:val="20"/>
                <w:szCs w:val="20"/>
                <w:lang w:val="en-US" w:eastAsia="en-US"/>
              </w:rPr>
              <w:t>对前沿的大语言模型技术保持敏锐的洞察力，能够迅速学习并实现新技术，可以快速理解前沿论文和技术文档并评测效果</w:t>
            </w:r>
            <w:r>
              <w:rPr>
                <w:rFonts w:hint="eastAsia" w:ascii="仿宋_GB2312" w:hAnsi="仿宋_GB2312" w:eastAsia="仿宋_GB2312" w:cs="仿宋_GB2312"/>
                <w:sz w:val="20"/>
                <w:szCs w:val="20"/>
                <w:lang w:val="en-US" w:eastAsia="zh-CN"/>
              </w:rPr>
              <w:t>。</w:t>
            </w:r>
          </w:p>
        </w:tc>
      </w:tr>
    </w:tbl>
    <w:p w14:paraId="2E81FD36">
      <w:pPr>
        <w:keepNext w:val="0"/>
        <w:keepLines w:val="0"/>
        <w:pageBreakBefore w:val="0"/>
        <w:kinsoku/>
        <w:wordWrap/>
        <w:overflowPunct/>
        <w:topLinePunct/>
        <w:bidi w:val="0"/>
        <w:rPr>
          <w:rFonts w:hint="eastAsia" w:ascii="仿宋_GB2312" w:hAnsi="仿宋_GB2312" w:eastAsia="仿宋_GB2312" w:cs="仿宋_GB2312"/>
          <w:sz w:val="20"/>
          <w:szCs w:val="20"/>
          <w:lang w:val="en-US" w:eastAsia="zh-CN"/>
        </w:rPr>
      </w:pPr>
    </w:p>
    <w:p w14:paraId="3ACFCF96">
      <w:pPr>
        <w:keepNext w:val="0"/>
        <w:keepLines w:val="0"/>
        <w:pageBreakBefore w:val="0"/>
        <w:kinsoku/>
        <w:wordWrap/>
        <w:overflowPunct/>
        <w:topLinePunct/>
        <w:bidi w:val="0"/>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注：1.工作经历、任职经历年限和年龄的计算截至2025年6月30日；35周岁以下指1990年7月及以后出生，以此类推。</w:t>
      </w:r>
    </w:p>
    <w:p w14:paraId="37DD6A15">
      <w:pPr>
        <w:numPr>
          <w:ilvl w:val="0"/>
          <w:numId w:val="0"/>
        </w:numPr>
        <w:ind w:firstLine="400" w:firstLineChars="200"/>
        <w:jc w:val="both"/>
        <w:rPr>
          <w:rFonts w:hint="default" w:ascii="方正仿宋_GB2312" w:hAnsi="方正仿宋_GB2312" w:eastAsia="方正仿宋_GB2312" w:cs="方正仿宋_GB2312"/>
          <w:sz w:val="24"/>
          <w:szCs w:val="24"/>
          <w:lang w:val="en-US" w:eastAsia="zh-CN"/>
        </w:rPr>
        <w:sectPr>
          <w:pgSz w:w="16838" w:h="11906" w:orient="landscape"/>
          <w:pgMar w:top="1440" w:right="1800" w:bottom="1440" w:left="1800" w:header="851" w:footer="992" w:gutter="0"/>
          <w:pgNumType w:fmt="decimal"/>
          <w:cols w:space="720" w:num="1"/>
          <w:docGrid w:type="lines" w:linePitch="312" w:charSpace="0"/>
        </w:sectPr>
      </w:pPr>
      <w:r>
        <w:rPr>
          <w:rFonts w:hint="eastAsia" w:ascii="仿宋_GB2312" w:hAnsi="仿宋_GB2312" w:eastAsia="仿宋_GB2312" w:cs="仿宋_GB2312"/>
          <w:snapToGrid w:val="0"/>
          <w:color w:val="000000"/>
          <w:kern w:val="0"/>
          <w:sz w:val="20"/>
          <w:szCs w:val="20"/>
          <w:lang w:val="en-US" w:eastAsia="zh-CN" w:bidi="ar-SA"/>
        </w:rPr>
        <w:t>2.</w:t>
      </w:r>
      <w:r>
        <w:rPr>
          <w:rFonts w:hint="eastAsia" w:ascii="仿宋_GB2312" w:hAnsi="仿宋_GB2312" w:eastAsia="仿宋_GB2312" w:cs="仿宋_GB2312"/>
          <w:sz w:val="20"/>
          <w:szCs w:val="20"/>
          <w:lang w:val="en-US" w:eastAsia="zh-CN"/>
        </w:rPr>
        <w:t>学历专业类别参照江西省最新年度考试录用公务员专业条件设置指导目录。</w:t>
      </w:r>
    </w:p>
    <w:p w14:paraId="7AF0E788">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B84AC9"/>
    <w:rsid w:val="2CB84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customStyle="1" w:styleId="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2025-08-27T09:03:00Z</dcterms:created>
  <dc:creator>敏敏</dc:creator>
  <cp:lastModifiedBy>敏敏</cp:lastModifiedBy>
  <dcterms:modified xsi:type="dcterms:W3CDTF">2025-08-27T09:04:54Z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24B49AB72E8242EFBA69501F8A1A5E78_11</vt:lpwstr>
  </property>
  <property fmtid="{D5CDD505-2E9C-101B-9397-08002B2CF9AE}" pid="4" name="KSOTemplateDocerSaveRecord">
    <vt:lpwstr>eyJoZGlkIjoiMzM5ZjgzN2MwMzk0ZmIzMDZiZDM0NjdlMjhlNTc4OTQiLCJ1c2VySWQiOiIxNDA1NjAzMDYzIn0=</vt:lpwstr>
  </property>
</Properties>
</file>