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4" w:type="dxa"/>
        <w:tblCellSpacing w:w="15" w:type="dxa"/>
        <w:tblInd w:w="-7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4"/>
        <w:gridCol w:w="1399"/>
        <w:gridCol w:w="1300"/>
        <w:gridCol w:w="4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岗位条件(含年龄、专业、学历、学位等要求)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儿科临床医师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儿科学、临床医学专业，全日制统招本科及以上学历、学位。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放射诊断医师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医学影像学专业，全日制统招本科及以上学历、学位，本岗位更适合男性。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CT/MRI室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CT/MRI技师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医学影像工程（技术）专业，全日制统招本科及以上学历、学位，本岗位更适合男性；有三甲医院实习经验者优先。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护理部（服务中心）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气动物流管理人员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全日制统招中专学历， 30周岁以下（1988年1月1日及以后出生），本岗位适合男性。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病理技师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临床医学、基础医学、医学检验（技术）学专业，全日制统招大专及以上学历、学位，有工作经验者优先；本岗位为技师岗，从事技师工作。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软件维护人员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30周岁以下（1988年1月1日后出生）。计算机或医学相关专业，全日制统招本科及以上学历，该岗位要求熟悉sql server/oracle数据库，且能应用sql语言进行数据统计分析；或者能使用PB或JAVA开发，能用PL/SQL编写存储过程；或者对服务器、交换机能熟练操作及维护，具备故障诊断和处理能力；持oracle认证证书或计算机软考中级以上证书或华为/思科/锐捷/华三交换机认证证书优先考虑。</w:t>
            </w: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76" w:beforeAutospacing="0" w:after="0" w:afterAutospacing="0" w:line="480" w:lineRule="auto"/>
        <w:ind w:left="0" w:right="0" w:firstLine="400"/>
        <w:jc w:val="left"/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bdr w:val="none" w:color="auto" w:sz="0" w:space="0"/>
          <w:lang w:val="en-US" w:eastAsia="zh-CN" w:bidi="ar"/>
        </w:rPr>
        <w:t xml:space="preserve">以上各岗位年龄要求均为30周岁以下（1988年1月1日及以后出生）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557FB"/>
    <w:rsid w:val="10255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2018-02-12T08:17:00Z</dcterms:created>
  <dc:creator>幸福的小泽1392700379</dc:creator>
  <cp:lastModifiedBy>幸福的小泽1392700379</cp:lastModifiedBy>
  <dcterms:modified xsi:type="dcterms:W3CDTF">2018-02-12T08:18:17Z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