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5A5A5A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27"/>
          <w:szCs w:val="27"/>
          <w:bdr w:val="none" w:color="auto" w:sz="0" w:space="0"/>
        </w:rPr>
        <w:t>基础性人才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5A5A5A"/>
          <w:spacing w:val="0"/>
          <w:sz w:val="21"/>
          <w:szCs w:val="21"/>
        </w:rPr>
      </w:pPr>
    </w:p>
    <w:tbl>
      <w:tblPr>
        <w:tblW w:w="9361" w:type="dxa"/>
        <w:jc w:val="center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621"/>
        <w:gridCol w:w="1335"/>
        <w:gridCol w:w="1275"/>
        <w:gridCol w:w="990"/>
        <w:gridCol w:w="1125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1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硕士优先，本科需具有本专业工作经历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儿科或临床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新生儿科医师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儿科、新生儿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男生，优秀本科也可考虑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神经外科医师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神经外科学科带头人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肝胆外科医师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胸外科医师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40岁以下，有中级职称或专科工作经验者优先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乳腺二科医师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乳腺或肿瘤外科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乳腺三科医师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肿瘤、外科或整形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乳腺整形外科医师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肿瘤或整形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博士优先，重点大学优先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乳腺肿瘤内科医师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肿瘤或乳腺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博士优先，重点大学优先，有浆乳治疗经验者优先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肿瘤放疗医师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肿瘤放化疗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40周岁以下，有省级医院放疗工作经验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内分泌医师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内分泌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内分泌医师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内分泌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风湿免疫医师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风湿免疫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呼吸内科医师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血液内科医师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心血管一科医师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心血管一科医师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副主任医师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能开展介入手术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心血管二科医师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主治医师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有介入手术经验，能独立完成心血管危急重症患者处理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重症或急诊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耳鼻喉医师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牙周、修复，牙体牙髓专业优先考虑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全科医学医师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有规陪证，同等条件研究生和取得全科医学证者优先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影像或超声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放疗技师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影像技术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有技师上岗证，熟悉直线加速器及模拟机定位操作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心电图医师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检验科技师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医学检验、临床试验诊.,断或基础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科研能力强者优先，以第一作者发表过SCI者优先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输血科技师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检验或输血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硕士专业可放宽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药剂科药师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药管办临床药师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医务科干事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公共卫生事业管理或临床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科教科干事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公共卫生事业管理或临床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65"/>
    <w:rsid w:val="00A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2018-03-07T08:48:00Z</dcterms:created>
  <dc:creator>向青釉</dc:creator>
  <cp:lastModifiedBy>向青釉</cp:lastModifiedBy>
  <dcterms:modified xsi:type="dcterms:W3CDTF">2018-03-07T08:52:29Z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