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3"/>
          <w:szCs w:val="33"/>
          <w:bdr w:val="none" w:color="auto" w:sz="0" w:space="0"/>
          <w:shd w:val="clear" w:fill="FAFAFA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3"/>
          <w:szCs w:val="33"/>
          <w:bdr w:val="none" w:color="auto" w:sz="0" w:space="0"/>
          <w:shd w:val="clear" w:fill="FAFAFA"/>
          <w:lang w:val="en-US" w:eastAsia="zh-CN" w:bidi="ar"/>
        </w:rPr>
        <w:t>二、招收专业及人数：（合计80人）</w:t>
      </w:r>
    </w:p>
    <w:tbl>
      <w:tblPr>
        <w:tblW w:w="851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3"/>
        <w:gridCol w:w="2287"/>
        <w:gridCol w:w="2404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25(含全科定向生）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外科（神经外科方向）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8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257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4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1649" w:type="dxa"/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78BC"/>
    <w:rsid w:val="024C78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2018-04-20T02:49:00Z</dcterms:created>
  <dc:creator>Thinkpad</dc:creator>
  <cp:lastModifiedBy>Thinkpad</cp:lastModifiedBy>
  <dcterms:modified xsi:type="dcterms:W3CDTF">2018-04-20T02:49:26Z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