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附件1：</w:t>
      </w:r>
    </w:p>
    <w:tbl>
      <w:tblPr>
        <w:tblStyle w:val="4"/>
        <w:tblpPr w:leftFromText="180" w:rightFromText="180" w:vertAnchor="page" w:horzAnchor="margin" w:tblpXSpec="center" w:tblpY="2355"/>
        <w:tblOverlap w:val="never"/>
        <w:tblW w:w="14850" w:type="dxa"/>
        <w:tblInd w:w="0" w:type="dxa"/>
        <w:tblLayout w:type="fixed"/>
        <w:tblCellMar>
          <w:top w:w="0" w:type="dxa"/>
          <w:left w:w="108" w:type="dxa"/>
          <w:bottom w:w="0" w:type="dxa"/>
          <w:right w:w="108" w:type="dxa"/>
        </w:tblCellMar>
      </w:tblPr>
      <w:tblGrid>
        <w:gridCol w:w="1731"/>
        <w:gridCol w:w="907"/>
        <w:gridCol w:w="989"/>
        <w:gridCol w:w="2819"/>
        <w:gridCol w:w="1520"/>
        <w:gridCol w:w="1529"/>
        <w:gridCol w:w="1039"/>
        <w:gridCol w:w="963"/>
        <w:gridCol w:w="2471"/>
        <w:gridCol w:w="882"/>
      </w:tblGrid>
      <w:tr>
        <w:tblPrEx>
          <w:tblLayout w:type="fixed"/>
          <w:tblCellMar>
            <w:top w:w="0" w:type="dxa"/>
            <w:left w:w="108" w:type="dxa"/>
            <w:bottom w:w="0" w:type="dxa"/>
            <w:right w:w="108" w:type="dxa"/>
          </w:tblCellMar>
        </w:tblPrEx>
        <w:trPr>
          <w:trHeight w:val="660" w:hRule="atLeast"/>
        </w:trPr>
        <w:tc>
          <w:tcPr>
            <w:tcW w:w="14850" w:type="dxa"/>
            <w:gridSpan w:val="10"/>
            <w:tcBorders>
              <w:top w:val="nil"/>
              <w:left w:val="nil"/>
              <w:bottom w:val="single" w:color="auto" w:sz="4" w:space="0"/>
              <w:right w:val="nil"/>
            </w:tcBorders>
            <w:vAlign w:val="center"/>
          </w:tcPr>
          <w:p>
            <w:pPr>
              <w:jc w:val="center"/>
              <w:rPr>
                <w:rFonts w:ascii="方正小标宋简体" w:hAnsi="宋体" w:eastAsia="方正小标宋简体" w:cs="宋体"/>
                <w:b/>
                <w:bCs/>
                <w:sz w:val="36"/>
                <w:szCs w:val="36"/>
              </w:rPr>
            </w:pPr>
            <w:r>
              <w:rPr>
                <w:rFonts w:hint="eastAsia" w:ascii="方正小标宋简体" w:hAnsi="宋体" w:eastAsia="方正小标宋简体" w:cs="宋体"/>
                <w:b/>
                <w:bCs/>
                <w:color w:val="000000"/>
                <w:sz w:val="36"/>
                <w:szCs w:val="36"/>
              </w:rPr>
              <w:t>南昌市青云谱区2018年度面向全省公开选调区纪委监委工作人员</w:t>
            </w:r>
            <w:r>
              <w:rPr>
                <w:rFonts w:hint="eastAsia" w:ascii="方正小标宋简体" w:hAnsi="宋体" w:eastAsia="方正小标宋简体" w:cs="宋体"/>
                <w:b/>
                <w:bCs/>
                <w:sz w:val="36"/>
                <w:szCs w:val="36"/>
              </w:rPr>
              <w:t>职位表</w:t>
            </w:r>
          </w:p>
        </w:tc>
      </w:tr>
      <w:tr>
        <w:tblPrEx>
          <w:tblLayout w:type="fixed"/>
          <w:tblCellMar>
            <w:top w:w="0" w:type="dxa"/>
            <w:left w:w="108" w:type="dxa"/>
            <w:bottom w:w="0" w:type="dxa"/>
            <w:right w:w="108" w:type="dxa"/>
          </w:tblCellMar>
        </w:tblPrEx>
        <w:trPr>
          <w:trHeight w:val="570" w:hRule="atLeast"/>
        </w:trPr>
        <w:tc>
          <w:tcPr>
            <w:tcW w:w="1731" w:type="dxa"/>
            <w:vMerge w:val="restart"/>
            <w:tcBorders>
              <w:top w:val="single" w:color="auto" w:sz="4" w:space="0"/>
              <w:left w:val="single" w:color="auto" w:sz="4" w:space="0"/>
              <w:bottom w:val="single" w:color="auto" w:sz="4" w:space="0"/>
              <w:right w:val="nil"/>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单位</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拟选调人员数</w:t>
            </w:r>
          </w:p>
        </w:tc>
        <w:tc>
          <w:tcPr>
            <w:tcW w:w="98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岗位</w:t>
            </w:r>
          </w:p>
          <w:p>
            <w:pPr>
              <w:spacing w:line="360" w:lineRule="exact"/>
              <w:jc w:val="center"/>
              <w:rPr>
                <w:rFonts w:ascii="黑体" w:hAnsi="黑体" w:eastAsia="黑体" w:cs="宋体"/>
                <w:bCs/>
                <w:sz w:val="28"/>
                <w:szCs w:val="28"/>
              </w:rPr>
            </w:pPr>
            <w:r>
              <w:rPr>
                <w:rFonts w:hint="eastAsia" w:ascii="黑体" w:hAnsi="黑体" w:eastAsia="黑体" w:cs="宋体"/>
                <w:bCs/>
                <w:sz w:val="28"/>
                <w:szCs w:val="28"/>
              </w:rPr>
              <w:t>名称</w:t>
            </w:r>
          </w:p>
        </w:tc>
        <w:tc>
          <w:tcPr>
            <w:tcW w:w="281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选调对象</w:t>
            </w:r>
            <w:r>
              <w:rPr>
                <w:rFonts w:hint="eastAsia" w:ascii="黑体" w:hAnsi="黑体" w:eastAsia="黑体" w:cs="宋体"/>
                <w:bCs/>
                <w:sz w:val="28"/>
                <w:szCs w:val="28"/>
              </w:rPr>
              <w:br w:type="textWrapping"/>
            </w:r>
            <w:r>
              <w:rPr>
                <w:rFonts w:hint="eastAsia" w:ascii="黑体" w:hAnsi="黑体" w:eastAsia="黑体" w:cs="宋体"/>
                <w:bCs/>
                <w:sz w:val="28"/>
                <w:szCs w:val="28"/>
              </w:rPr>
              <w:t>范围</w:t>
            </w: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年龄</w:t>
            </w:r>
          </w:p>
          <w:p>
            <w:pPr>
              <w:spacing w:line="360" w:lineRule="exact"/>
              <w:jc w:val="center"/>
              <w:rPr>
                <w:rFonts w:ascii="黑体" w:hAnsi="黑体" w:eastAsia="黑体" w:cs="宋体"/>
                <w:bCs/>
                <w:sz w:val="28"/>
                <w:szCs w:val="28"/>
              </w:rPr>
            </w:pPr>
            <w:r>
              <w:rPr>
                <w:rFonts w:hint="eastAsia" w:ascii="黑体" w:hAnsi="黑体" w:eastAsia="黑体" w:cs="宋体"/>
                <w:bCs/>
                <w:sz w:val="28"/>
                <w:szCs w:val="28"/>
              </w:rPr>
              <w:t>条件</w:t>
            </w:r>
          </w:p>
        </w:tc>
        <w:tc>
          <w:tcPr>
            <w:tcW w:w="6002"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资格条件</w:t>
            </w:r>
          </w:p>
        </w:tc>
        <w:tc>
          <w:tcPr>
            <w:tcW w:w="88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备注</w:t>
            </w:r>
          </w:p>
        </w:tc>
      </w:tr>
      <w:tr>
        <w:tblPrEx>
          <w:tblLayout w:type="fixed"/>
          <w:tblCellMar>
            <w:top w:w="0" w:type="dxa"/>
            <w:left w:w="108" w:type="dxa"/>
            <w:bottom w:w="0" w:type="dxa"/>
            <w:right w:w="108" w:type="dxa"/>
          </w:tblCellMar>
        </w:tblPrEx>
        <w:trPr>
          <w:trHeight w:val="664" w:hRule="atLeast"/>
        </w:trPr>
        <w:tc>
          <w:tcPr>
            <w:tcW w:w="1731" w:type="dxa"/>
            <w:vMerge w:val="continue"/>
            <w:tcBorders>
              <w:top w:val="single" w:color="auto" w:sz="4" w:space="0"/>
              <w:left w:val="single" w:color="auto" w:sz="4" w:space="0"/>
              <w:bottom w:val="single" w:color="auto" w:sz="4" w:space="0"/>
              <w:right w:val="nil"/>
            </w:tcBorders>
            <w:vAlign w:val="center"/>
          </w:tcPr>
          <w:p>
            <w:pPr>
              <w:rPr>
                <w:rFonts w:ascii="仿宋_GB2312" w:hAnsi="宋体" w:eastAsia="仿宋_GB2312" w:cs="宋体"/>
                <w:b/>
                <w:bCs/>
              </w:rPr>
            </w:pPr>
          </w:p>
        </w:tc>
        <w:tc>
          <w:tcPr>
            <w:tcW w:w="907"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rPr>
            </w:pPr>
          </w:p>
        </w:tc>
        <w:tc>
          <w:tcPr>
            <w:tcW w:w="98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rPr>
            </w:pPr>
          </w:p>
        </w:tc>
        <w:tc>
          <w:tcPr>
            <w:tcW w:w="2819"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rPr>
            </w:pPr>
          </w:p>
        </w:tc>
        <w:tc>
          <w:tcPr>
            <w:tcW w:w="1529"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专业</w:t>
            </w:r>
          </w:p>
        </w:tc>
        <w:tc>
          <w:tcPr>
            <w:tcW w:w="1039"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学历</w:t>
            </w:r>
          </w:p>
        </w:tc>
        <w:tc>
          <w:tcPr>
            <w:tcW w:w="96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
                <w:bCs/>
              </w:rPr>
            </w:pPr>
            <w:r>
              <w:rPr>
                <w:rFonts w:hint="eastAsia" w:ascii="黑体" w:hAnsi="黑体" w:eastAsia="黑体" w:cs="宋体"/>
                <w:bCs/>
                <w:sz w:val="28"/>
                <w:szCs w:val="28"/>
              </w:rPr>
              <w:t>学位</w:t>
            </w:r>
          </w:p>
        </w:tc>
        <w:tc>
          <w:tcPr>
            <w:tcW w:w="2471" w:type="dxa"/>
            <w:tcBorders>
              <w:top w:val="single" w:color="auto" w:sz="4" w:space="0"/>
              <w:left w:val="nil"/>
              <w:bottom w:val="single" w:color="auto" w:sz="4" w:space="0"/>
              <w:right w:val="single" w:color="auto" w:sz="4" w:space="0"/>
            </w:tcBorders>
            <w:vAlign w:val="center"/>
          </w:tcPr>
          <w:p>
            <w:pPr>
              <w:spacing w:line="360" w:lineRule="exact"/>
              <w:jc w:val="center"/>
              <w:rPr>
                <w:rFonts w:ascii="黑体" w:hAnsi="黑体" w:eastAsia="黑体" w:cs="宋体"/>
                <w:bCs/>
                <w:sz w:val="28"/>
                <w:szCs w:val="28"/>
              </w:rPr>
            </w:pPr>
            <w:r>
              <w:rPr>
                <w:rFonts w:hint="eastAsia" w:ascii="黑体" w:hAnsi="黑体" w:eastAsia="黑体" w:cs="宋体"/>
                <w:bCs/>
                <w:sz w:val="28"/>
                <w:szCs w:val="28"/>
              </w:rPr>
              <w:t>其他条件</w:t>
            </w:r>
          </w:p>
        </w:tc>
        <w:tc>
          <w:tcPr>
            <w:tcW w:w="882" w:type="dxa"/>
            <w:vMerge w:val="continue"/>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
                <w:bCs/>
              </w:rPr>
            </w:pPr>
          </w:p>
        </w:tc>
      </w:tr>
      <w:tr>
        <w:tblPrEx>
          <w:tblLayout w:type="fixed"/>
          <w:tblCellMar>
            <w:top w:w="0" w:type="dxa"/>
            <w:left w:w="108" w:type="dxa"/>
            <w:bottom w:w="0" w:type="dxa"/>
            <w:right w:w="108" w:type="dxa"/>
          </w:tblCellMar>
        </w:tblPrEx>
        <w:trPr>
          <w:trHeight w:val="2902" w:hRule="atLeast"/>
        </w:trPr>
        <w:tc>
          <w:tcPr>
            <w:tcW w:w="1731" w:type="dxa"/>
            <w:vMerge w:val="restart"/>
            <w:tcBorders>
              <w:top w:val="single" w:color="auto" w:sz="4" w:space="0"/>
              <w:left w:val="single" w:color="auto" w:sz="4" w:space="0"/>
              <w:bottom w:val="single" w:color="auto" w:sz="4" w:space="0"/>
              <w:right w:val="nil"/>
            </w:tcBorders>
            <w:vAlign w:val="center"/>
          </w:tcPr>
          <w:p>
            <w:pPr>
              <w:jc w:val="center"/>
              <w:rPr>
                <w:rFonts w:ascii="仿宋_GB2312" w:hAnsi="宋体" w:eastAsia="仿宋_GB2312" w:cs="宋体"/>
              </w:rPr>
            </w:pPr>
            <w:r>
              <w:rPr>
                <w:rFonts w:hint="eastAsia" w:ascii="仿宋_GB2312" w:hAnsi="宋体" w:eastAsia="仿宋_GB2312" w:cs="宋体"/>
              </w:rPr>
              <w:t>区纪委监委</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2</w:t>
            </w:r>
          </w:p>
        </w:tc>
        <w:tc>
          <w:tcPr>
            <w:tcW w:w="98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文字综合岗位</w:t>
            </w:r>
          </w:p>
        </w:tc>
        <w:tc>
          <w:tcPr>
            <w:tcW w:w="2819" w:type="dxa"/>
            <w:vMerge w:val="restart"/>
            <w:tcBorders>
              <w:top w:val="single" w:color="auto" w:sz="4" w:space="0"/>
              <w:left w:val="nil"/>
              <w:bottom w:val="single" w:color="auto" w:sz="4" w:space="0"/>
              <w:right w:val="nil"/>
            </w:tcBorders>
            <w:vAlign w:val="center"/>
          </w:tcPr>
          <w:p>
            <w:pPr>
              <w:jc w:val="center"/>
              <w:rPr>
                <w:rFonts w:ascii="仿宋_GB2312" w:hAnsi="宋体" w:eastAsia="仿宋_GB2312" w:cs="宋体"/>
              </w:rPr>
            </w:pPr>
            <w:r>
              <w:rPr>
                <w:rFonts w:hint="eastAsia" w:ascii="仿宋_GB2312" w:hAnsi="宋体" w:eastAsia="仿宋_GB2312" w:cs="宋体"/>
              </w:rPr>
              <w:t>符合选调条件的公务员，或已进行参公登记且属省级以上公务员主管部门组织公务员考试录用的参公人员</w:t>
            </w: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30周岁以下（全日制硕士研究生及以上学历的可放宽至32周岁）</w:t>
            </w:r>
          </w:p>
        </w:tc>
        <w:tc>
          <w:tcPr>
            <w:tcW w:w="152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不限</w:t>
            </w:r>
          </w:p>
        </w:tc>
        <w:tc>
          <w:tcPr>
            <w:tcW w:w="1039"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全日制本科及以上</w:t>
            </w:r>
          </w:p>
        </w:tc>
        <w:tc>
          <w:tcPr>
            <w:tcW w:w="963"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学士</w:t>
            </w:r>
          </w:p>
          <w:p>
            <w:pPr>
              <w:jc w:val="center"/>
              <w:rPr>
                <w:rFonts w:ascii="仿宋_GB2312" w:hAnsi="宋体" w:eastAsia="仿宋_GB2312" w:cs="宋体"/>
              </w:rPr>
            </w:pPr>
            <w:r>
              <w:rPr>
                <w:rFonts w:hint="eastAsia" w:ascii="仿宋_GB2312" w:hAnsi="宋体" w:eastAsia="仿宋_GB2312" w:cs="宋体"/>
              </w:rPr>
              <w:t>及以上</w:t>
            </w:r>
          </w:p>
        </w:tc>
        <w:tc>
          <w:tcPr>
            <w:tcW w:w="2471"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rPr>
            </w:pPr>
            <w:r>
              <w:rPr>
                <w:rFonts w:hint="eastAsia" w:ascii="仿宋_GB2312" w:hAnsi="宋体" w:eastAsia="仿宋_GB2312" w:cs="宋体"/>
              </w:rPr>
              <w:t>有从事文字材料工作经验，文字功底扎实，能适应加班工作。</w:t>
            </w:r>
          </w:p>
        </w:tc>
        <w:tc>
          <w:tcPr>
            <w:tcW w:w="882"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rPr>
            </w:pPr>
          </w:p>
        </w:tc>
      </w:tr>
      <w:tr>
        <w:tblPrEx>
          <w:tblLayout w:type="fixed"/>
          <w:tblCellMar>
            <w:top w:w="0" w:type="dxa"/>
            <w:left w:w="108" w:type="dxa"/>
            <w:bottom w:w="0" w:type="dxa"/>
            <w:right w:w="108" w:type="dxa"/>
          </w:tblCellMar>
        </w:tblPrEx>
        <w:trPr>
          <w:trHeight w:val="2394" w:hRule="atLeast"/>
        </w:trPr>
        <w:tc>
          <w:tcPr>
            <w:tcW w:w="173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2</w:t>
            </w:r>
          </w:p>
        </w:tc>
        <w:tc>
          <w:tcPr>
            <w:tcW w:w="9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执纪审查岗位</w:t>
            </w:r>
          </w:p>
        </w:tc>
        <w:tc>
          <w:tcPr>
            <w:tcW w:w="2819" w:type="dxa"/>
            <w:vMerge w:val="continue"/>
            <w:tcBorders>
              <w:top w:val="single" w:color="auto" w:sz="4" w:space="0"/>
              <w:left w:val="nil"/>
              <w:bottom w:val="single" w:color="auto" w:sz="4" w:space="0"/>
              <w:right w:val="nil"/>
            </w:tcBorders>
            <w:vAlign w:val="center"/>
          </w:tcPr>
          <w:p>
            <w:pPr>
              <w:rPr>
                <w:rFonts w:ascii="仿宋_GB2312" w:hAnsi="宋体" w:eastAsia="仿宋_GB2312" w:cs="宋体"/>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p>
        </w:tc>
        <w:tc>
          <w:tcPr>
            <w:tcW w:w="1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会计与审计类、经济与贸易类、财政金融类、公安类和法律类</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全日制本科及以上</w:t>
            </w:r>
          </w:p>
        </w:tc>
        <w:tc>
          <w:tcPr>
            <w:tcW w:w="9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r>
              <w:rPr>
                <w:rFonts w:hint="eastAsia" w:ascii="仿宋_GB2312" w:hAnsi="宋体" w:eastAsia="仿宋_GB2312" w:cs="宋体"/>
              </w:rPr>
              <w:t>学士</w:t>
            </w:r>
          </w:p>
          <w:p>
            <w:pPr>
              <w:jc w:val="center"/>
              <w:rPr>
                <w:rFonts w:ascii="仿宋_GB2312" w:hAnsi="宋体" w:eastAsia="仿宋_GB2312" w:cs="宋体"/>
              </w:rPr>
            </w:pPr>
            <w:r>
              <w:rPr>
                <w:rFonts w:hint="eastAsia" w:ascii="仿宋_GB2312" w:hAnsi="宋体" w:eastAsia="仿宋_GB2312" w:cs="宋体"/>
              </w:rPr>
              <w:t>及以上</w:t>
            </w:r>
          </w:p>
        </w:tc>
        <w:tc>
          <w:tcPr>
            <w:tcW w:w="247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rPr>
            </w:pPr>
            <w:r>
              <w:rPr>
                <w:rFonts w:hint="eastAsia" w:ascii="仿宋_GB2312" w:hAnsi="宋体" w:eastAsia="仿宋_GB2312" w:cs="宋体"/>
              </w:rPr>
              <w:t>具有纪检监察、审计、财政、投资评审、审判、检察及公安机关等相关工作经历者优先。</w:t>
            </w:r>
          </w:p>
        </w:tc>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rPr>
            </w:pPr>
          </w:p>
        </w:tc>
      </w:tr>
    </w:tbl>
    <w:p>
      <w:pPr>
        <w:rPr>
          <w:rFonts w:ascii="仿宋" w:hAnsi="仿宋" w:eastAsia="仿宋" w:cs="仿宋"/>
          <w:b/>
          <w:bCs/>
          <w:sz w:val="32"/>
          <w:szCs w:val="32"/>
        </w:rPr>
        <w:sectPr>
          <w:pgSz w:w="16838" w:h="11906" w:orient="landscape"/>
          <w:pgMar w:top="1418" w:right="1418" w:bottom="1418" w:left="1418"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CE6E1C"/>
    <w:rsid w:val="67CE6E1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2018-08-19T01:41:00Z</dcterms:created>
  <dc:creator>1</dc:creator>
  <cp:lastModifiedBy>1</cp:lastModifiedBy>
  <dcterms:modified xsi:type="dcterms:W3CDTF">2018-08-19T01:42:05Z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