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rPr>
          <w:rFonts w:ascii="Arial" w:hAnsi="Arial" w:cs="Arial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16"/>
          <w:szCs w:val="16"/>
          <w:bdr w:val="none" w:color="auto" w:sz="0" w:space="0"/>
          <w:shd w:val="clear" w:fill="FFFFFF"/>
        </w:rPr>
        <w:t>招收计划和研究方向</w:t>
      </w:r>
    </w:p>
    <w:tbl>
      <w:tblPr>
        <w:tblW w:w="9060" w:type="dxa"/>
        <w:jc w:val="center"/>
        <w:tblInd w:w="-377" w:type="dxa"/>
        <w:tblBorders>
          <w:top w:val="single" w:color="EFF8FD" w:sz="4" w:space="0"/>
          <w:left w:val="single" w:color="EFF8FD" w:sz="4" w:space="0"/>
          <w:bottom w:val="single" w:color="EFF8FD" w:sz="4" w:space="0"/>
          <w:right w:val="single" w:color="EFF8FD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00"/>
        <w:gridCol w:w="2374"/>
        <w:gridCol w:w="2073"/>
        <w:gridCol w:w="1413"/>
      </w:tblGrid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研究方向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博士后学科专业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导师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招收人数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水土保持监测关键技术与信息化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水土保持、自然地理及相近专业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奚同行（教授级高级工程师）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红壤侵蚀过程与防治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水土保持、林学及相近专业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谢颂华（教授级高级工程师）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红壤侵蚀过程与防治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水土保持、土壤学及相近专业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郑海金（教授级高级工程师）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EFF8FD" w:sz="4" w:space="0"/>
            <w:left w:val="single" w:color="EFF8FD" w:sz="4" w:space="0"/>
            <w:bottom w:val="single" w:color="EFF8FD" w:sz="4" w:space="0"/>
            <w:right w:val="single" w:color="EFF8FD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流域生态环境及生态服务功能</w:t>
            </w:r>
          </w:p>
        </w:tc>
        <w:tc>
          <w:tcPr>
            <w:tcW w:w="2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水土保持、生态学及相近专业</w:t>
            </w:r>
          </w:p>
        </w:tc>
        <w:tc>
          <w:tcPr>
            <w:tcW w:w="2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莫明浩（教授级高级工程师）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CC12B9"/>
    <w:rsid w:val="4FCC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2019-06-06T03:11:00Z</dcterms:created>
  <dc:creator>与爱飞翔</dc:creator>
  <cp:lastModifiedBy>与爱飞翔</cp:lastModifiedBy>
  <dcterms:modified xsi:type="dcterms:W3CDTF">2019-06-06T03:12:36Z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