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赣州经济技术开发区人力资源和社会保障局招聘特殊岗位自聘人员</w:t>
      </w:r>
      <w:r>
        <w:rPr>
          <w:rFonts w:hint="eastAsia" w:ascii="黑体" w:hAnsi="黑体" w:eastAsia="黑体"/>
          <w:sz w:val="36"/>
          <w:szCs w:val="36"/>
          <w:lang w:eastAsia="zh-CN"/>
        </w:rPr>
        <w:t>拟聘用</w:t>
      </w:r>
      <w:r>
        <w:rPr>
          <w:rFonts w:hint="eastAsia" w:ascii="黑体" w:hAnsi="黑体" w:eastAsia="黑体"/>
          <w:sz w:val="36"/>
          <w:szCs w:val="36"/>
        </w:rPr>
        <w:t>人员名单（共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人）</w:t>
      </w:r>
      <w:bookmarkEnd w:id="0"/>
    </w:p>
    <w:tbl>
      <w:tblPr>
        <w:tblStyle w:val="2"/>
        <w:tblpPr w:leftFromText="180" w:rightFromText="180" w:vertAnchor="text" w:horzAnchor="page" w:tblpX="2347" w:tblpY="543"/>
        <w:tblOverlap w:val="never"/>
        <w:tblW w:w="7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216"/>
        <w:gridCol w:w="1995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崔文彬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姜文强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欧阳劲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1440B"/>
    <w:rsid w:val="431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2019-08-15T03:10:00Z</dcterms:created>
  <dc:creator>海蓝紫晶心</dc:creator>
  <cp:lastModifiedBy>海蓝紫晶心</cp:lastModifiedBy>
  <dcterms:modified xsi:type="dcterms:W3CDTF">2019-08-15T03:11:46Z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