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000000" w:themeColor="text1"/>
          <w:sz w:val="32"/>
          <w:szCs w:val="32"/>
          <w:highlight w:val="none"/>
          <w14:textFill>
            <w14:solidFill>
              <w14:schemeClr w14:val="tx1"/>
            </w14:solidFill>
          </w14:textFill>
        </w:rPr>
      </w:pPr>
      <w:bookmarkStart w:id="0" w:name="_GoBack"/>
      <w:r>
        <w:rPr>
          <w:rFonts w:hint="eastAsia" w:ascii="黑体" w:hAnsi="黑体" w:eastAsia="黑体" w:cs="黑体"/>
          <w:b w:val="0"/>
          <w:bCs w:val="0"/>
          <w:color w:val="000000" w:themeColor="text1"/>
          <w:sz w:val="32"/>
          <w:szCs w:val="32"/>
          <w:highlight w:val="none"/>
          <w14:textFill>
            <w14:solidFill>
              <w14:schemeClr w14:val="tx1"/>
            </w14:solidFill>
          </w14:textFill>
        </w:rPr>
        <w:t>附件1</w:t>
      </w:r>
    </w:p>
    <w:p>
      <w:pPr>
        <w:spacing w:line="560" w:lineRule="exact"/>
        <w:jc w:val="cente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吉安市城市建设投资开发有限公司及</w:t>
      </w:r>
    </w:p>
    <w:p>
      <w:pPr>
        <w:spacing w:line="560" w:lineRule="exact"/>
        <w:jc w:val="cente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下属子公司</w:t>
      </w: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招聘岗位及任职要求</w:t>
      </w:r>
    </w:p>
    <w:bookmarkEnd w:id="0"/>
    <w:tbl>
      <w:tblPr>
        <w:tblStyle w:val="4"/>
        <w:tblW w:w="896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3"/>
        <w:gridCol w:w="843"/>
        <w:gridCol w:w="930"/>
        <w:gridCol w:w="945"/>
        <w:gridCol w:w="675"/>
        <w:gridCol w:w="4322"/>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序号</w:t>
            </w:r>
          </w:p>
        </w:tc>
        <w:tc>
          <w:tcPr>
            <w:tcW w:w="8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用人</w:t>
            </w: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部门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需求</w:t>
            </w: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数量</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任职条件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2"/>
                <w:szCs w:val="22"/>
                <w:highlight w:val="none"/>
                <w:u w:val="none"/>
                <w:lang w:val="en-US" w:eastAsia="zh-CN" w:bidi="ar"/>
                <w14:textFill>
                  <w14:solidFill>
                    <w14:schemeClr w14:val="tx1"/>
                  </w14:solidFill>
                </w14:textFill>
              </w:rPr>
              <w:t>用工性质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吉安市城市建设投资开发有限公司</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发展部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文秘岗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1.本科及以上学历，专业不限；</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2.三年及以上行政机关或企事业单位文秘岗位相关工作经验；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3.能吃苦耐劳，需经常加班，建议男性。</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人  力</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资源部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综合岗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1.35周岁及以下，本科及以上学历，人力资源管理及相关专业；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2.三年及以上人力资源相关岗位工作经验；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3.具有中级及以上人力资源管理师职称者可适当放宽条件。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3</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稽  核</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审计部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审计工作人员（精装修）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1.本科及以上学历，专业不限；</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2.三年及以上装饰装修造价管理经验和较强的实操能力，具有二级造价师及以上证书；</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3.能独立完成工程审核工作，处理工程中的技术问题，具备较强的组织能力和沟通协调能力。</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4</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融资部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金融岗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1.本科及以上学历，金融学、财会类等相关专业；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2.三年及以上银行、证券、基金等金融机构从业经验。</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5</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  程</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管理部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安全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质量岗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1.40周岁及以下，本科及以上学历，安全类、工程管理类等相关专业；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2.三年及以上工程建设、生产经营安全、文明施工</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大气污染防治等相关工作经验；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3.具有安全、监理、造价、建造、建筑类等相关证书或工程建设类中级及以上相关职称者可适当放宽条件，有安全工程师证者可放宽至大专及以上学历、年龄放宽至45周岁及以下。</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4.能独立工作且接受施工现场督查工作，工作认真负责，积极主动，敢于担当，严于律己，有原则和责任心。</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6</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工程监管岗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1.本科及以上学历，40周岁及以下，工程相关专业；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2.3年及以上工程建设质量、进度、投资控制、农民工工资、智慧工地、合作单位诚信黑白名单管理等工作经验，具备现代化项目工程建设专业技能及实操经验，能主导以上板块工作且深入施工现场督查；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3.具备相关制度编写能力，工作认真负责,积极主动,敢于担当,严于律己,有原则和责任心；</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4.持有房建、市政工程建设监理、建造师等相关中级以上职业资格、职称，特别优秀者年龄可放宽至45周岁、学历可放宽至全日制大专。</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7</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技术部</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人员</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1.本科及以上学历，建筑学等相关专业；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2.三年及以上在设计院从事建筑设计相关工作经验，并取得中级工程师及以上职称。</w:t>
            </w:r>
          </w:p>
        </w:tc>
        <w:tc>
          <w:tcPr>
            <w:tcW w:w="8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8</w:t>
            </w:r>
          </w:p>
        </w:tc>
        <w:tc>
          <w:tcPr>
            <w:tcW w:w="84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材料部</w:t>
            </w:r>
          </w:p>
        </w:tc>
        <w:tc>
          <w:tcPr>
            <w:tcW w:w="9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0"/>
                <w:szCs w:val="20"/>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人员</w:t>
            </w:r>
          </w:p>
        </w:tc>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1.本科及以上学历，工程造价或机电工程等相关专业；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2.三年及以上工程造价或机电工程等相关工作经验；建议男性；</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3.具有中级工程师及以上职称或二级建造师及以上证书；</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4.认真负责,积极主动,有原则和责任心。</w:t>
            </w:r>
          </w:p>
        </w:tc>
        <w:tc>
          <w:tcPr>
            <w:tcW w:w="81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9</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信  息</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中  心</w:t>
            </w:r>
          </w:p>
        </w:tc>
        <w:tc>
          <w:tcPr>
            <w:tcW w:w="9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数据</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维护岗</w:t>
            </w:r>
          </w:p>
        </w:tc>
        <w:tc>
          <w:tcPr>
            <w:tcW w:w="6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1.本科及以上学历，网络工程等计算机相关专业；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2.需精通MySQL/Oracle/SqlServer一种及以上数据库；</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3.具备较强的团队精神和沟通协调能力。</w:t>
            </w:r>
          </w:p>
        </w:tc>
        <w:tc>
          <w:tcPr>
            <w:tcW w:w="81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10</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吉安市高铁新区投资有限公司</w:t>
            </w:r>
          </w:p>
        </w:tc>
        <w:tc>
          <w:tcPr>
            <w:tcW w:w="9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工程部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专技岗（强电方向）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1.本科及以上学历，电气工程及其自动化、自动化、机电、供配电等相关专业（强电方向）;</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2.三年及以上工程项目中供配电、电气施工管理等相关工作经验，并取得助理电气工程师及以上职称。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11</w:t>
            </w:r>
          </w:p>
        </w:tc>
        <w:tc>
          <w:tcPr>
            <w:tcW w:w="84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专技岗（土建方向）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1.硕士研究生及以上学历，土木工程等相关专业；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2.有工程类相关工作经验或实习经验，取得二级建造师及以上证书者可适当放宽条件。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12</w:t>
            </w:r>
          </w:p>
        </w:tc>
        <w:tc>
          <w:tcPr>
            <w:tcW w:w="84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亚行办</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工作人员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1.35周岁及以下，本科及以上学历，英语、商务英语等相关专业；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2.通过英语四级及以上考试；</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3.熟悉外资项目管理，具备较强的文字功底、沟通协调能力和责任心；</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4.有三年及以上外企相关工作经验者可适当放宽条件。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13</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吉安市花园房地产开发有限公司</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工程部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土建</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工程师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1.35周岁及以下，本科及以上学历，工程管理等相关专业；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2.三年及以上工程类相关工作经验；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3.具有中级工程师（土木工程专业）及以上职称。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14</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预算员岗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1.35周岁及以下，大专及以上学历，工程造价等相关专业；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2.三年及以上相关工作经验，熟练掌握广联达、神机妙算等软件，具有二级造价师及以上证书。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15</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吉安市庐陵文化旅游开发建设发展有限</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公司</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  程</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管理部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1.硕士研究生及以上学历，土木工程等相关专业；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2.有相关工作经验或实习经验。</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iCs w:val="0"/>
                <w:color w:val="000000" w:themeColor="text1"/>
                <w:sz w:val="22"/>
                <w:szCs w:val="22"/>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highlight w:val="none"/>
                <w:u w:val="none"/>
                <w:lang w:val="en-US" w:eastAsia="zh-CN"/>
                <w14:textFill>
                  <w14:solidFill>
                    <w14:schemeClr w14:val="tx1"/>
                  </w14:solidFill>
                </w14:textFill>
              </w:rPr>
              <w:t>16</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  程</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管理部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人员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1.35周岁及以下，本科及以上学历，建筑工程类、水电暖通等相关专业；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2.3年及以上相关工作经验，具有二级建造师及以上证书或助理工程师及以上职称。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17</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吉安市鼎杰金属制品有限责任公司</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车  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车间主管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本科及以上学历,专业不限；</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2.三年及以上同等岗位管理经验，或五年及以上钢材加工行业生产车间工作经验；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3.具有建造师或监理工程师及以上证书。</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4.熟练掌握钢结构加工的全套工艺、生产流程和技术要求，熟悉型材加工的操作流程，拥有丰富的生产管理、成本控制、质量管理、物流管理方面的经验；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5.具有高度的责任心，较强的组织管理和协调能力，较好的大局观和团队合作精神；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6.大型钢结构公司担任车间经理、生产厂长、主管者可适当放宽条件。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18</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  程</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项目部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工程管理专业人员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3</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1.本科及以上学历，专业不限；</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2.三年及以上现场施工等相关工作经验；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3.具有初级施工员及或二级建造师及以上证书；</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4.看图、识图能力强，能熟练操作AutoCAD软件，熟悉钢结构加工及施工流程，有一定的阅图、审图能力，能现场放线、测量，对现场材料质量；</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5.工作认真、责任心强，有较强的组织协调能力及沟通能力，具团队合作精神。</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19</w:t>
            </w: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预  决</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算  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预算员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1.本科及以上学历，工程造价等相关专业；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2.三年及以上预算相关工作经验,对预算程序熟知；</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3.具有初级预算员或二级造价师及以上证书；</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4.会使用预算软件、熟练钢结构算量者可适当放宽条件。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20</w:t>
            </w:r>
          </w:p>
        </w:tc>
        <w:tc>
          <w:tcPr>
            <w:tcW w:w="8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江西省吉安市建筑安装工程总公司</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生产质量安全部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施  工</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管理岗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1.本科及以上学历，玻璃幕墙等相关专业；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2.三年及以上相关工作经验；</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3.具备良好的团队协作精神，有较强的沟通能力和主观能动性；能独立负责现场质量和安全检查工作；吃苦耐劳，能根据现场施工情况适当加班。</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熟悉国家各项安全法律法规、生产现场安全工作流程、安全操作规范和安全管理的程序，能够及时发现安全隐患并给予纠正：熟悉掌握建筑施工生产过程及安全防护消防、临电等相关安全规章、标准和日常安全管理，有高度的责任心。</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5.能接受公司的外派，具体根据施工项目地确定。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6.持有一级建造师证书或能独立完成工程项目管理者可适当放宽条件，具有五年及以上相关工作经验者可适当放宽至大专学历。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21</w:t>
            </w:r>
          </w:p>
        </w:tc>
        <w:tc>
          <w:tcPr>
            <w:tcW w:w="84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江西省吉安市建筑安装工程总公司</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物  资</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供应部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材料岗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1.本科及以上学历，专业不限；</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2.三年及以上的工程现场管理、工程造价或材料采购相关方面的工作经验，建议男性。</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3.具有中级工程师及以上职称者可适当放宽条件，具有五年及以上相关工作经验者可适当放宽至大专学历。</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4.品德优良，有团队合作及吃苦耐劳的精神，有一定的沟通协调能力。</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22</w:t>
            </w:r>
          </w:p>
        </w:tc>
        <w:tc>
          <w:tcPr>
            <w:tcW w:w="843"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法  务</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合约部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法  务</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合约岗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1.本科及以上学历，法律类等相关专业，985及211院校可适当放宽条件；</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2.三年及以上的法律工作经验者（懂建筑行业相关法律）可适当放宽条件。</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3.通过国家统一法律资格考试并取得相关法律资格证书。</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4.政治素质好，思想作风正派，品行端正，身体健康，责任心强，服务意识好，无不良记录。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23</w:t>
            </w:r>
          </w:p>
        </w:tc>
        <w:tc>
          <w:tcPr>
            <w:tcW w:w="843"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吉</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安城投建设监理有限公司</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p>
        </w:tc>
        <w:tc>
          <w:tcPr>
            <w:tcW w:w="9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工程部</w:t>
            </w:r>
          </w:p>
        </w:tc>
        <w:tc>
          <w:tcPr>
            <w:tcW w:w="945"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监  理</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工程师岗</w:t>
            </w:r>
          </w:p>
        </w:tc>
        <w:tc>
          <w:tcPr>
            <w:tcW w:w="6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1.40周岁及以下，本科及以上学历，工程类等相关专业；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2.三年及以上相关工作经验，取得国家注册监理工程师(房建、市政、机电、水利方向)及以上证书。</w:t>
            </w: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聘用制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43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24</w:t>
            </w:r>
          </w:p>
        </w:tc>
        <w:tc>
          <w:tcPr>
            <w:tcW w:w="843"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9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财务部</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财务岗</w:t>
            </w:r>
          </w:p>
        </w:tc>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4322"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1.25周岁及以下，本科及以上学历，会计学等相关专业；</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2.有财务相关工作经验者可适当放宽条件。</w:t>
            </w:r>
          </w:p>
        </w:tc>
        <w:tc>
          <w:tcPr>
            <w:tcW w:w="8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聘用制</w:t>
            </w:r>
          </w:p>
        </w:tc>
      </w:tr>
    </w:tbl>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s="Times New Roman"/>
          <w:color w:val="000000" w:themeColor="text1"/>
          <w:sz w:val="24"/>
          <w:szCs w:val="24"/>
          <w:highlight w:val="none"/>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afterAutospacing="0" w:line="560" w:lineRule="exact"/>
        <w:textAlignment w:val="auto"/>
        <w:rPr>
          <w:rFonts w:hint="eastAsia" w:ascii="宋体" w:hAnsi="宋体" w:eastAsia="宋体" w:cs="Times New Roman"/>
          <w:color w:val="000000" w:themeColor="text1"/>
          <w:sz w:val="24"/>
          <w:szCs w:val="24"/>
          <w:highlight w:val="none"/>
          <w:lang w:eastAsia="zh-CN"/>
          <w14:textFill>
            <w14:solidFill>
              <w14:schemeClr w14:val="tx1"/>
            </w14:solidFill>
          </w14:textFill>
        </w:rPr>
      </w:pPr>
      <w:r>
        <w:rPr>
          <w:rFonts w:hint="eastAsia" w:ascii="宋体" w:hAnsi="宋体" w:eastAsia="宋体" w:cs="Times New Roman"/>
          <w:color w:val="000000" w:themeColor="text1"/>
          <w:sz w:val="24"/>
          <w:szCs w:val="24"/>
          <w:highlight w:val="none"/>
          <w:lang w:eastAsia="zh-CN"/>
          <w14:textFill>
            <w14:solidFill>
              <w14:schemeClr w14:val="tx1"/>
            </w14:solidFill>
          </w14:textFill>
        </w:rPr>
        <w:t>注：年龄及资历计算截止时间为202</w:t>
      </w: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2</w:t>
      </w:r>
      <w:r>
        <w:rPr>
          <w:rFonts w:hint="eastAsia" w:ascii="宋体" w:hAnsi="宋体" w:eastAsia="宋体" w:cs="Times New Roman"/>
          <w:color w:val="000000" w:themeColor="text1"/>
          <w:sz w:val="24"/>
          <w:szCs w:val="24"/>
          <w:highlight w:val="none"/>
          <w:lang w:eastAsia="zh-CN"/>
          <w14:textFill>
            <w14:solidFill>
              <w14:schemeClr w14:val="tx1"/>
            </w14:solidFill>
          </w14:textFill>
        </w:rPr>
        <w:t>年</w:t>
      </w:r>
      <w:r>
        <w:rPr>
          <w:rFonts w:hint="default" w:ascii="宋体" w:hAnsi="宋体" w:eastAsia="宋体" w:cs="Times New Roman"/>
          <w:color w:val="000000" w:themeColor="text1"/>
          <w:sz w:val="24"/>
          <w:szCs w:val="24"/>
          <w:highlight w:val="none"/>
          <w:lang w:val="en-US" w:eastAsia="zh-CN"/>
          <w14:textFill>
            <w14:solidFill>
              <w14:schemeClr w14:val="tx1"/>
            </w14:solidFill>
          </w14:textFill>
        </w:rPr>
        <w:t>5</w:t>
      </w:r>
      <w:r>
        <w:rPr>
          <w:rFonts w:hint="eastAsia" w:ascii="宋体" w:hAnsi="宋体" w:eastAsia="宋体" w:cs="Times New Roman"/>
          <w:color w:val="000000" w:themeColor="text1"/>
          <w:sz w:val="24"/>
          <w:szCs w:val="24"/>
          <w:highlight w:val="none"/>
          <w:lang w:eastAsia="zh-CN"/>
          <w14:textFill>
            <w14:solidFill>
              <w14:schemeClr w14:val="tx1"/>
            </w14:solidFill>
          </w14:textFill>
        </w:rPr>
        <w:t>月</w:t>
      </w: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3</w:t>
      </w:r>
      <w:r>
        <w:rPr>
          <w:rFonts w:hint="default" w:ascii="宋体" w:hAnsi="宋体" w:eastAsia="宋体" w:cs="Times New Roman"/>
          <w:color w:val="000000" w:themeColor="text1"/>
          <w:sz w:val="24"/>
          <w:szCs w:val="24"/>
          <w:highlight w:val="none"/>
          <w:lang w:val="en-US" w:eastAsia="zh-CN"/>
          <w14:textFill>
            <w14:solidFill>
              <w14:schemeClr w14:val="tx1"/>
            </w14:solidFill>
          </w14:textFill>
        </w:rPr>
        <w:t>1</w:t>
      </w:r>
      <w:r>
        <w:rPr>
          <w:rFonts w:hint="eastAsia" w:ascii="宋体" w:hAnsi="宋体" w:eastAsia="宋体" w:cs="Times New Roman"/>
          <w:color w:val="000000" w:themeColor="text1"/>
          <w:sz w:val="24"/>
          <w:szCs w:val="24"/>
          <w:highlight w:val="none"/>
          <w:lang w:eastAsia="zh-CN"/>
          <w14:textFill>
            <w14:solidFill>
              <w14:schemeClr w14:val="tx1"/>
            </w14:solidFill>
          </w14:textFill>
        </w:rPr>
        <w:t>日。</w:t>
      </w:r>
    </w:p>
    <w:p>
      <w:pPr>
        <w:pStyle w:val="6"/>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窗体顶端</w:t>
      </w:r>
    </w:p>
    <w:p>
      <w:pPr>
        <w:pStyle w:val="7"/>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窗体底端</w:t>
      </w:r>
    </w:p>
    <w:p>
      <w:pPr>
        <w:spacing w:line="560" w:lineRule="exact"/>
        <w:rPr>
          <w:rFonts w:hint="eastAsia" w:ascii="黑体" w:hAnsi="黑体" w:eastAsia="黑体" w:cs="黑体"/>
          <w:color w:val="000000" w:themeColor="text1"/>
          <w:sz w:val="28"/>
          <w:szCs w:val="28"/>
          <w:highlight w:val="none"/>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C8AC95-71BC-4EBA-BA05-9B7DDAE3AB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2B4D9668-7131-402C-9860-4E8F04C31D1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E8C4E"/>
    <w:multiLevelType w:val="singleLevel"/>
    <w:tmpl w:val="4DEE8C4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83E3B"/>
    <w:rsid w:val="5638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Calibri"/>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_Style 18"/>
    <w:basedOn w:val="1"/>
    <w:next w:val="1"/>
    <w:qFormat/>
    <w:uiPriority w:val="0"/>
    <w:pPr>
      <w:pBdr>
        <w:bottom w:val="single" w:color="auto" w:sz="6" w:space="1"/>
      </w:pBdr>
      <w:jc w:val="center"/>
    </w:pPr>
    <w:rPr>
      <w:rFonts w:ascii="Arial" w:eastAsia="宋体"/>
      <w:vanish/>
      <w:sz w:val="16"/>
    </w:rPr>
  </w:style>
  <w:style w:type="paragraph" w:customStyle="1" w:styleId="7">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2022-05-19T10:15:00Z</dcterms:created>
  <dc:creator>陶卫平</dc:creator>
  <cp:lastModifiedBy>陶卫平</cp:lastModifiedBy>
  <dcterms:modified xsi:type="dcterms:W3CDTF">2022-05-19T10:15:50Z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